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353B" w14:textId="40CCA146" w:rsidR="0045407B" w:rsidRPr="0045407B" w:rsidRDefault="0045407B" w:rsidP="0045407B">
      <w:pPr>
        <w:rPr>
          <w:b/>
        </w:rPr>
      </w:pPr>
      <w:r w:rsidRPr="0045407B">
        <w:rPr>
          <w:b/>
        </w:rPr>
        <w:t>Department of the Army</w:t>
      </w:r>
      <w:r w:rsidRPr="0045407B">
        <w:rPr>
          <w:b/>
        </w:rPr>
        <w:tab/>
      </w:r>
      <w:r w:rsidRPr="0045407B">
        <w:rPr>
          <w:b/>
        </w:rPr>
        <w:tab/>
      </w:r>
      <w:r w:rsidRPr="0045407B">
        <w:rPr>
          <w:b/>
        </w:rPr>
        <w:tab/>
      </w:r>
      <w:r w:rsidRPr="0045407B">
        <w:rPr>
          <w:b/>
        </w:rPr>
        <w:tab/>
      </w:r>
      <w:r w:rsidRPr="0045407B">
        <w:rPr>
          <w:b/>
        </w:rPr>
        <w:tab/>
      </w:r>
      <w:r w:rsidR="00A9162D">
        <w:rPr>
          <w:b/>
        </w:rPr>
        <w:tab/>
      </w:r>
      <w:r w:rsidR="00B717D6">
        <w:rPr>
          <w:b/>
        </w:rPr>
        <w:t>*</w:t>
      </w:r>
      <w:r w:rsidRPr="0045407B">
        <w:rPr>
          <w:b/>
        </w:rPr>
        <w:t>TRADOC Regulation 27-2</w:t>
      </w:r>
    </w:p>
    <w:p w14:paraId="4D330FA5" w14:textId="77777777" w:rsidR="0045407B" w:rsidRPr="0045407B" w:rsidRDefault="0045407B" w:rsidP="0045407B">
      <w:pPr>
        <w:rPr>
          <w:b/>
        </w:rPr>
      </w:pPr>
      <w:r w:rsidRPr="0045407B">
        <w:rPr>
          <w:b/>
        </w:rPr>
        <w:t>Headquarters, United States Army</w:t>
      </w:r>
      <w:r w:rsidR="00B9494F">
        <w:rPr>
          <w:b/>
        </w:rPr>
        <w:t xml:space="preserve"> </w:t>
      </w:r>
    </w:p>
    <w:p w14:paraId="3AEC0668" w14:textId="77777777" w:rsidR="0045407B" w:rsidRPr="0045407B" w:rsidRDefault="0045407B" w:rsidP="0045407B">
      <w:pPr>
        <w:rPr>
          <w:b/>
        </w:rPr>
      </w:pPr>
      <w:r w:rsidRPr="0045407B">
        <w:rPr>
          <w:b/>
        </w:rPr>
        <w:t>Training and Doctrine Command</w:t>
      </w:r>
    </w:p>
    <w:p w14:paraId="0BBE98FA" w14:textId="77777777" w:rsidR="0045407B" w:rsidRPr="0045407B" w:rsidRDefault="0045407B" w:rsidP="0045407B">
      <w:pPr>
        <w:rPr>
          <w:b/>
        </w:rPr>
      </w:pPr>
      <w:r w:rsidRPr="0045407B">
        <w:rPr>
          <w:b/>
        </w:rPr>
        <w:t xml:space="preserve">Fort </w:t>
      </w:r>
      <w:r w:rsidR="00FC40D4">
        <w:rPr>
          <w:b/>
        </w:rPr>
        <w:t>Eustis</w:t>
      </w:r>
      <w:r w:rsidRPr="0045407B">
        <w:rPr>
          <w:b/>
        </w:rPr>
        <w:t xml:space="preserve">, Virginia </w:t>
      </w:r>
      <w:r w:rsidR="00980FFC">
        <w:rPr>
          <w:b/>
        </w:rPr>
        <w:t xml:space="preserve"> </w:t>
      </w:r>
      <w:r w:rsidRPr="0045407B">
        <w:rPr>
          <w:b/>
        </w:rPr>
        <w:t>236</w:t>
      </w:r>
      <w:r w:rsidR="00FC40D4">
        <w:rPr>
          <w:b/>
        </w:rPr>
        <w:t>04</w:t>
      </w:r>
      <w:r w:rsidRPr="0045407B">
        <w:rPr>
          <w:b/>
        </w:rPr>
        <w:t>-</w:t>
      </w:r>
      <w:r w:rsidR="00FC40D4">
        <w:rPr>
          <w:b/>
        </w:rPr>
        <w:t>5700</w:t>
      </w:r>
    </w:p>
    <w:p w14:paraId="29FF7674" w14:textId="77777777" w:rsidR="0045407B" w:rsidRPr="0045407B" w:rsidRDefault="0045407B" w:rsidP="0045407B"/>
    <w:p w14:paraId="48700C7E" w14:textId="3A0F2936" w:rsidR="0045407B" w:rsidRDefault="00D74551" w:rsidP="0045407B">
      <w:pPr>
        <w:rPr>
          <w:b/>
        </w:rPr>
      </w:pPr>
      <w:r>
        <w:rPr>
          <w:b/>
        </w:rPr>
        <w:t>26</w:t>
      </w:r>
      <w:r w:rsidR="008F4447">
        <w:rPr>
          <w:b/>
        </w:rPr>
        <w:t xml:space="preserve"> </w:t>
      </w:r>
      <w:r w:rsidR="00973F01">
        <w:rPr>
          <w:b/>
        </w:rPr>
        <w:t xml:space="preserve">July </w:t>
      </w:r>
      <w:r w:rsidR="009B29E7">
        <w:rPr>
          <w:b/>
        </w:rPr>
        <w:t>2019</w:t>
      </w:r>
    </w:p>
    <w:p w14:paraId="0D9C1B23" w14:textId="77777777" w:rsidR="00C16266" w:rsidRPr="00452673" w:rsidRDefault="00C16266" w:rsidP="0045407B">
      <w:pPr>
        <w:rPr>
          <w:b/>
        </w:rPr>
      </w:pPr>
    </w:p>
    <w:p w14:paraId="38C9CDA1" w14:textId="77777777" w:rsidR="0045407B" w:rsidRDefault="0045407B" w:rsidP="0045407B">
      <w:pPr>
        <w:jc w:val="center"/>
        <w:rPr>
          <w:b/>
          <w:sz w:val="20"/>
          <w:szCs w:val="20"/>
        </w:rPr>
      </w:pPr>
      <w:r w:rsidRPr="0045407B">
        <w:rPr>
          <w:b/>
          <w:sz w:val="20"/>
          <w:szCs w:val="20"/>
        </w:rPr>
        <w:t>Legal Services</w:t>
      </w:r>
    </w:p>
    <w:p w14:paraId="30E27101" w14:textId="77777777" w:rsidR="00346FF1" w:rsidRPr="00346FF1" w:rsidRDefault="00346FF1" w:rsidP="0045407B">
      <w:pPr>
        <w:jc w:val="center"/>
        <w:rPr>
          <w:b/>
          <w:sz w:val="16"/>
          <w:szCs w:val="16"/>
        </w:rPr>
      </w:pPr>
    </w:p>
    <w:p w14:paraId="7A161331" w14:textId="1BBAD874" w:rsidR="0045407B" w:rsidRDefault="00667DCB" w:rsidP="0092168D">
      <w:pPr>
        <w:jc w:val="center"/>
        <w:rPr>
          <w:b/>
        </w:rPr>
      </w:pPr>
      <w:r>
        <w:rPr>
          <w:b/>
        </w:rPr>
        <w:t>Military Justice</w:t>
      </w:r>
    </w:p>
    <w:p w14:paraId="4B58D833" w14:textId="77777777" w:rsidR="00667DCB" w:rsidRDefault="00667DCB" w:rsidP="0092168D">
      <w:pPr>
        <w:jc w:val="center"/>
        <w:rPr>
          <w:b/>
        </w:rPr>
      </w:pPr>
    </w:p>
    <w:p w14:paraId="6A0E8D8A" w14:textId="77777777" w:rsidR="00667DCB" w:rsidRDefault="00667DCB" w:rsidP="0092168D">
      <w:pPr>
        <w:pBdr>
          <w:top w:val="single" w:sz="4" w:space="1" w:color="auto"/>
        </w:pBdr>
      </w:pPr>
    </w:p>
    <w:p w14:paraId="5D4FA752" w14:textId="77777777" w:rsidR="00667DCB" w:rsidRDefault="00667DCB" w:rsidP="0092168D">
      <w:pPr>
        <w:pBdr>
          <w:top w:val="single" w:sz="4" w:space="1" w:color="auto"/>
        </w:pBdr>
      </w:pPr>
    </w:p>
    <w:p w14:paraId="695DE710" w14:textId="4494FE25" w:rsidR="00346FF1" w:rsidRPr="0069544B" w:rsidRDefault="00B9546F" w:rsidP="00346FF1">
      <w:pPr>
        <w:pStyle w:val="Table"/>
      </w:pPr>
      <w:r>
        <w:tab/>
      </w:r>
      <w:r w:rsidR="00346FF1" w:rsidRPr="0069544B">
        <w:tab/>
      </w:r>
      <w:r w:rsidR="00346FF1" w:rsidRPr="0069544B">
        <w:tab/>
      </w:r>
      <w:r w:rsidR="00346FF1" w:rsidRPr="0069544B">
        <w:tab/>
      </w:r>
      <w:r w:rsidR="00346FF1" w:rsidRPr="0069544B">
        <w:tab/>
      </w:r>
      <w:r w:rsidR="00346FF1" w:rsidRPr="0069544B">
        <w:tab/>
      </w:r>
      <w:r w:rsidR="00346FF1" w:rsidRPr="0069544B">
        <w:tab/>
      </w:r>
      <w:r w:rsidR="00973F01">
        <w:t>PAUL E. FUNK II</w:t>
      </w:r>
    </w:p>
    <w:p w14:paraId="1F84DE56" w14:textId="58A5C0E4" w:rsidR="00346FF1" w:rsidRPr="0069544B" w:rsidRDefault="00346FF1" w:rsidP="00346FF1"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  <w:t>General, U.S. Army</w:t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Pr="0069544B">
        <w:tab/>
      </w:r>
      <w:r w:rsidR="00980FFC">
        <w:tab/>
      </w:r>
      <w:r w:rsidR="00980FFC">
        <w:tab/>
        <w:t>Commanding</w:t>
      </w:r>
    </w:p>
    <w:p w14:paraId="39C4E6F2" w14:textId="06E35918" w:rsidR="00346FF1" w:rsidRDefault="00802A16" w:rsidP="00B9546F">
      <w:r w:rsidRPr="00802A16">
        <w:rPr>
          <w:noProof/>
        </w:rPr>
        <w:drawing>
          <wp:anchor distT="0" distB="0" distL="114300" distR="114300" simplePos="0" relativeHeight="251658240" behindDoc="0" locked="0" layoutInCell="1" allowOverlap="1" wp14:anchorId="635A0EF3" wp14:editId="1D371A69">
            <wp:simplePos x="0" y="0"/>
            <wp:positionH relativeFrom="margin">
              <wp:posOffset>-257175</wp:posOffset>
            </wp:positionH>
            <wp:positionV relativeFrom="paragraph">
              <wp:posOffset>140970</wp:posOffset>
            </wp:positionV>
            <wp:extent cx="1981200" cy="998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229FA" w14:textId="55C1CD07" w:rsidR="00077158" w:rsidRDefault="00077158" w:rsidP="00B9546F"/>
    <w:p w14:paraId="22E6B64C" w14:textId="16D07FFD" w:rsidR="00B9546F" w:rsidRPr="0069544B" w:rsidRDefault="00B9546F" w:rsidP="00B9546F"/>
    <w:p w14:paraId="51DCAD40" w14:textId="13C26531" w:rsidR="00346FF1" w:rsidRPr="0069544B" w:rsidRDefault="00346FF1" w:rsidP="00346FF1"/>
    <w:p w14:paraId="19EF5A34" w14:textId="44C92455" w:rsidR="00346FF1" w:rsidRDefault="003E5138" w:rsidP="00346FF1">
      <w:r>
        <w:t>WILLIAM T. LAS</w:t>
      </w:r>
      <w:r w:rsidR="00667DCB">
        <w:t>H</w:t>
      </w:r>
      <w:r>
        <w:t>ER</w:t>
      </w:r>
    </w:p>
    <w:p w14:paraId="33B4A26D" w14:textId="77777777" w:rsidR="00346FF1" w:rsidRDefault="00346FF1" w:rsidP="00346FF1">
      <w:r w:rsidRPr="0069544B">
        <w:t>Deputy Chief of Staff, G</w:t>
      </w:r>
      <w:r>
        <w:t>-</w:t>
      </w:r>
      <w:r w:rsidRPr="0069544B">
        <w:t>6</w:t>
      </w:r>
    </w:p>
    <w:p w14:paraId="33C801A5" w14:textId="77777777" w:rsidR="00346FF1" w:rsidRDefault="00346FF1" w:rsidP="0045407B"/>
    <w:p w14:paraId="1AF3ECD0" w14:textId="3899B625" w:rsidR="00070D7A" w:rsidRPr="0045407B" w:rsidRDefault="00070D7A" w:rsidP="00070D7A">
      <w:r>
        <w:rPr>
          <w:b/>
        </w:rPr>
        <w:t>History</w:t>
      </w:r>
      <w:r w:rsidRPr="0045407B">
        <w:rPr>
          <w:b/>
        </w:rPr>
        <w:t>.</w:t>
      </w:r>
      <w:r w:rsidRPr="0045407B">
        <w:t xml:space="preserve">  </w:t>
      </w:r>
      <w:r w:rsidRPr="009E646B">
        <w:t xml:space="preserve">This </w:t>
      </w:r>
      <w:r w:rsidR="00804D41">
        <w:t>publication is a</w:t>
      </w:r>
      <w:r>
        <w:t xml:space="preserve"> </w:t>
      </w:r>
      <w:r w:rsidR="00222BA4">
        <w:t>major</w:t>
      </w:r>
      <w:r>
        <w:t xml:space="preserve"> revision.  The portions affected by this revision are listed in the summary of change</w:t>
      </w:r>
      <w:r w:rsidR="001E379F">
        <w:t>s</w:t>
      </w:r>
      <w:r>
        <w:t>.</w:t>
      </w:r>
    </w:p>
    <w:p w14:paraId="1AD0A12F" w14:textId="77777777" w:rsidR="00070D7A" w:rsidRDefault="00070D7A">
      <w:pPr>
        <w:rPr>
          <w:b/>
        </w:rPr>
      </w:pPr>
    </w:p>
    <w:p w14:paraId="50C455B3" w14:textId="77777777" w:rsidR="0045407B" w:rsidRPr="0045407B" w:rsidRDefault="0045407B">
      <w:r w:rsidRPr="0045407B">
        <w:rPr>
          <w:b/>
        </w:rPr>
        <w:t>Summary.</w:t>
      </w:r>
      <w:r w:rsidRPr="0045407B">
        <w:t xml:space="preserve">  </w:t>
      </w:r>
      <w:r w:rsidR="009E646B" w:rsidRPr="009E646B">
        <w:t xml:space="preserve">This </w:t>
      </w:r>
      <w:r w:rsidR="006E4F6B">
        <w:t>regulation</w:t>
      </w:r>
      <w:r w:rsidR="009E646B" w:rsidRPr="009E646B">
        <w:t xml:space="preserve"> </w:t>
      </w:r>
      <w:r w:rsidR="00D0072B">
        <w:t xml:space="preserve">prescribes </w:t>
      </w:r>
      <w:r w:rsidR="00D0072B" w:rsidRPr="00D0072B">
        <w:t>policy and i</w:t>
      </w:r>
      <w:r w:rsidR="00D0072B">
        <w:t>mplements procedures for the ad</w:t>
      </w:r>
      <w:r w:rsidR="00D0072B" w:rsidRPr="00D0072B">
        <w:t>ministration of military justice</w:t>
      </w:r>
      <w:r w:rsidR="00D0072B">
        <w:t>.</w:t>
      </w:r>
    </w:p>
    <w:p w14:paraId="171894C3" w14:textId="77777777" w:rsidR="0045407B" w:rsidRPr="0045407B" w:rsidRDefault="0045407B" w:rsidP="0045407B"/>
    <w:p w14:paraId="250FC36D" w14:textId="77777777" w:rsidR="0045407B" w:rsidRDefault="0045407B" w:rsidP="0045407B">
      <w:r w:rsidRPr="0045407B">
        <w:rPr>
          <w:b/>
        </w:rPr>
        <w:t>Applicability</w:t>
      </w:r>
      <w:r w:rsidRPr="0045407B">
        <w:t xml:space="preserve">.  This regulation applies to all </w:t>
      </w:r>
      <w:r w:rsidR="006E3D72">
        <w:t xml:space="preserve">commands and Soldiers assigned to, attached to, or otherwise under the command and control of </w:t>
      </w:r>
      <w:r w:rsidR="009C7ABE">
        <w:t xml:space="preserve">the </w:t>
      </w:r>
      <w:r w:rsidR="0042491B">
        <w:t>U.S. Army Training and Doctrine Command (</w:t>
      </w:r>
      <w:r w:rsidRPr="0045407B">
        <w:t>TRADOC</w:t>
      </w:r>
      <w:r w:rsidR="0042491B">
        <w:t>)</w:t>
      </w:r>
      <w:r w:rsidR="006E3D72">
        <w:t>.</w:t>
      </w:r>
    </w:p>
    <w:p w14:paraId="68C8E41E" w14:textId="77777777" w:rsidR="00CB036D" w:rsidRDefault="00CB036D" w:rsidP="0045407B"/>
    <w:p w14:paraId="7DE44396" w14:textId="77777777" w:rsidR="00E03935" w:rsidRDefault="00CB036D">
      <w:r>
        <w:rPr>
          <w:b/>
        </w:rPr>
        <w:t xml:space="preserve">Proponent and exception authority.  </w:t>
      </w:r>
      <w:r>
        <w:t xml:space="preserve">The proponent of this regulation is the </w:t>
      </w:r>
      <w:r w:rsidR="000F4BA9">
        <w:t xml:space="preserve">TRADOC </w:t>
      </w:r>
      <w:r w:rsidR="009C7ABE">
        <w:t>Staff Judge Advocate</w:t>
      </w:r>
      <w:r w:rsidR="00D879F5">
        <w:t xml:space="preserve"> (SJA)</w:t>
      </w:r>
      <w:r w:rsidR="000F4BA9">
        <w:t>.</w:t>
      </w:r>
      <w:r>
        <w:t xml:space="preserve">  The proponent has the authority to approve excepti</w:t>
      </w:r>
      <w:r w:rsidR="00A9162D">
        <w:t>ons or waivers to this regulation</w:t>
      </w:r>
      <w:r>
        <w:t xml:space="preserve"> that are consistent with controlling law and regulations.  The proponent may delegate this approval authority in writing</w:t>
      </w:r>
      <w:r w:rsidR="00E03935">
        <w:t xml:space="preserve">.  </w:t>
      </w:r>
    </w:p>
    <w:p w14:paraId="3901D8E3" w14:textId="77777777" w:rsidR="00CB036D" w:rsidRDefault="00CB036D" w:rsidP="0045407B"/>
    <w:p w14:paraId="16EA5F00" w14:textId="2F02303F" w:rsidR="0045407B" w:rsidRDefault="0045407B" w:rsidP="0045407B">
      <w:r w:rsidRPr="0045407B">
        <w:rPr>
          <w:b/>
        </w:rPr>
        <w:t>Supplementation.</w:t>
      </w:r>
      <w:r w:rsidRPr="0045407B">
        <w:t xml:space="preserve">  </w:t>
      </w:r>
      <w:r w:rsidR="009401DE" w:rsidRPr="0045407B">
        <w:t>Supplementation is authorized</w:t>
      </w:r>
      <w:r w:rsidR="009401DE">
        <w:t xml:space="preserve"> after upon approval.  </w:t>
      </w:r>
      <w:r w:rsidR="009401DE" w:rsidRPr="0045407B">
        <w:t xml:space="preserve">Send one copy of the </w:t>
      </w:r>
      <w:r w:rsidR="009401DE">
        <w:t xml:space="preserve">proposed </w:t>
      </w:r>
      <w:r w:rsidR="009401DE" w:rsidRPr="0045407B">
        <w:t xml:space="preserve">supplement to </w:t>
      </w:r>
      <w:r w:rsidR="009401DE" w:rsidRPr="006F31E4">
        <w:t xml:space="preserve">TRADOC </w:t>
      </w:r>
      <w:r w:rsidR="009401DE">
        <w:t>Office of the Staff Judge Advocate</w:t>
      </w:r>
      <w:r w:rsidR="001E379F">
        <w:t xml:space="preserve"> (OSJA)</w:t>
      </w:r>
      <w:r w:rsidR="009401DE" w:rsidRPr="006F31E4">
        <w:t>, 950 Jefferson Avenue</w:t>
      </w:r>
      <w:r w:rsidR="009401DE">
        <w:t xml:space="preserve"> </w:t>
      </w:r>
      <w:r w:rsidR="009401DE" w:rsidRPr="006F31E4">
        <w:t>(AT</w:t>
      </w:r>
      <w:r w:rsidR="009401DE">
        <w:t>JA)</w:t>
      </w:r>
      <w:r w:rsidR="00B717D6">
        <w:t>, Fort Eustis, VA</w:t>
      </w:r>
      <w:r w:rsidR="009401DE" w:rsidRPr="006F31E4">
        <w:t xml:space="preserve"> </w:t>
      </w:r>
      <w:r w:rsidR="009401DE">
        <w:t xml:space="preserve"> </w:t>
      </w:r>
      <w:r w:rsidR="009401DE" w:rsidRPr="006F31E4">
        <w:t>23604-570</w:t>
      </w:r>
      <w:r w:rsidR="009401DE">
        <w:t>7.</w:t>
      </w:r>
      <w:r w:rsidR="002442BC">
        <w:t xml:space="preserve"> </w:t>
      </w:r>
    </w:p>
    <w:p w14:paraId="0553C510" w14:textId="77777777" w:rsidR="00B717D6" w:rsidRPr="0045407B" w:rsidRDefault="00B717D6" w:rsidP="0045407B"/>
    <w:p w14:paraId="384B3102" w14:textId="77777777" w:rsidR="0045407B" w:rsidRDefault="0045407B" w:rsidP="00E11E32">
      <w:r w:rsidRPr="0045407B">
        <w:rPr>
          <w:b/>
        </w:rPr>
        <w:t>Suggested improvements</w:t>
      </w:r>
      <w:r w:rsidRPr="0045407B">
        <w:t xml:space="preserve">.  </w:t>
      </w:r>
      <w:r w:rsidR="00E11E32">
        <w:t xml:space="preserve">Users </w:t>
      </w:r>
      <w:r w:rsidR="008E79A9">
        <w:t>may</w:t>
      </w:r>
      <w:r w:rsidR="00E11E32">
        <w:t xml:space="preserve"> s</w:t>
      </w:r>
      <w:r w:rsidR="008E79A9">
        <w:t xml:space="preserve">ubmit </w:t>
      </w:r>
      <w:r w:rsidR="00E11E32">
        <w:t>comments and suggest</w:t>
      </w:r>
      <w:r w:rsidR="008E79A9">
        <w:t>ed</w:t>
      </w:r>
      <w:r w:rsidR="00E11E32">
        <w:t xml:space="preserve"> improvements</w:t>
      </w:r>
      <w:r w:rsidR="008E79A9">
        <w:t xml:space="preserve"> on </w:t>
      </w:r>
      <w:r w:rsidR="00E11E32">
        <w:t xml:space="preserve">DA Form 2028 (Recommended Changes to Publications and Blank Forms) to Headquarters, U.S. Army </w:t>
      </w:r>
      <w:r w:rsidR="00E11E32" w:rsidRPr="00E11E32">
        <w:t xml:space="preserve">TRADOC, </w:t>
      </w:r>
      <w:r w:rsidR="00E4289B" w:rsidRPr="00E11E32">
        <w:t>ATTN: ATJA</w:t>
      </w:r>
      <w:r w:rsidR="00E4289B">
        <w:t xml:space="preserve">, </w:t>
      </w:r>
      <w:r w:rsidR="00E11E32" w:rsidRPr="00E11E32">
        <w:t xml:space="preserve">950 Jefferson Avenue, Fort Eustis, VA </w:t>
      </w:r>
      <w:r w:rsidR="00A06D2D">
        <w:t xml:space="preserve"> </w:t>
      </w:r>
      <w:r w:rsidR="00E11E32" w:rsidRPr="00E11E32">
        <w:t>23604-5700.</w:t>
      </w:r>
    </w:p>
    <w:p w14:paraId="0201AFF1" w14:textId="64E67B3A" w:rsidR="00B717D6" w:rsidRPr="00B717D6" w:rsidRDefault="00B717D6" w:rsidP="00B717D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Pr="00B717D6">
        <w:rPr>
          <w:sz w:val="20"/>
          <w:szCs w:val="20"/>
        </w:rPr>
        <w:t>The regulation supersedes TRADOC Regulation 27-2, 22 March 2016.</w:t>
      </w:r>
    </w:p>
    <w:p w14:paraId="250C32A5" w14:textId="35C82AC0" w:rsidR="0045407B" w:rsidRDefault="00CB036D" w:rsidP="0045407B">
      <w:r>
        <w:rPr>
          <w:b/>
        </w:rPr>
        <w:lastRenderedPageBreak/>
        <w:t>Distribution</w:t>
      </w:r>
      <w:r w:rsidR="0045407B" w:rsidRPr="0045407B">
        <w:t xml:space="preserve">.  </w:t>
      </w:r>
      <w:r w:rsidR="00CB7957" w:rsidRPr="006F31E4">
        <w:t xml:space="preserve">This </w:t>
      </w:r>
      <w:r w:rsidR="00CB7957">
        <w:t>memorandum</w:t>
      </w:r>
      <w:r w:rsidR="00CB7957" w:rsidRPr="006F31E4">
        <w:t xml:space="preserve"> is available in electronic media only </w:t>
      </w:r>
      <w:r w:rsidR="00CB7957">
        <w:t xml:space="preserve">at </w:t>
      </w:r>
      <w:r w:rsidR="00CB7957" w:rsidRPr="006F31E4">
        <w:t xml:space="preserve">the </w:t>
      </w:r>
      <w:r w:rsidR="00CB7957" w:rsidRPr="007776D8">
        <w:t>TRADOC Administrative Publications</w:t>
      </w:r>
      <w:r w:rsidR="00CB7957">
        <w:t xml:space="preserve"> </w:t>
      </w:r>
      <w:r w:rsidR="00CB7957" w:rsidRPr="000E5BE3">
        <w:t>website</w:t>
      </w:r>
      <w:r w:rsidR="00A03B6A">
        <w:t xml:space="preserve"> (</w:t>
      </w:r>
      <w:hyperlink r:id="rId12" w:history="1">
        <w:r w:rsidR="00A03B6A" w:rsidRPr="00A03B6A">
          <w:rPr>
            <w:rStyle w:val="Hyperlink"/>
          </w:rPr>
          <w:t>https://adminpubs.tradoc.army.mil</w:t>
        </w:r>
      </w:hyperlink>
      <w:bookmarkStart w:id="0" w:name="_GoBack"/>
      <w:bookmarkEnd w:id="0"/>
      <w:r w:rsidR="00A03B6A">
        <w:t>)</w:t>
      </w:r>
      <w:r w:rsidR="00CB7957">
        <w:t>.</w:t>
      </w:r>
    </w:p>
    <w:p w14:paraId="5FFFBD2E" w14:textId="77777777" w:rsidR="0045407B" w:rsidRDefault="0045407B" w:rsidP="00B717D6">
      <w:pPr>
        <w:pBdr>
          <w:bottom w:val="single" w:sz="4" w:space="1" w:color="auto"/>
        </w:pBdr>
      </w:pPr>
    </w:p>
    <w:p w14:paraId="7109745C" w14:textId="77777777" w:rsidR="00683149" w:rsidRDefault="00683149">
      <w:pPr>
        <w:rPr>
          <w:b/>
        </w:rPr>
      </w:pPr>
    </w:p>
    <w:p w14:paraId="12C1E7C8" w14:textId="77777777" w:rsidR="00CB036D" w:rsidRDefault="00136F6F" w:rsidP="0045407B">
      <w:pPr>
        <w:rPr>
          <w:b/>
        </w:rPr>
      </w:pPr>
      <w:r w:rsidRPr="00FD32BB">
        <w:rPr>
          <w:b/>
        </w:rPr>
        <w:t>Summary of Change</w:t>
      </w:r>
      <w:r w:rsidR="00DB1A46">
        <w:rPr>
          <w:b/>
        </w:rPr>
        <w:t>s</w:t>
      </w:r>
    </w:p>
    <w:p w14:paraId="33E5AEF6" w14:textId="77777777" w:rsidR="00136F6F" w:rsidRDefault="00136F6F" w:rsidP="0045407B">
      <w:pPr>
        <w:rPr>
          <w:b/>
        </w:rPr>
      </w:pPr>
    </w:p>
    <w:p w14:paraId="0D75DBE7" w14:textId="77777777" w:rsidR="00136F6F" w:rsidRDefault="00136F6F" w:rsidP="0045407B">
      <w:r>
        <w:t>TRADOC Regulation 27-2</w:t>
      </w:r>
    </w:p>
    <w:p w14:paraId="7D81D9CC" w14:textId="77777777" w:rsidR="00136F6F" w:rsidRDefault="00797853" w:rsidP="0045407B">
      <w:r>
        <w:t>Military Justice</w:t>
      </w:r>
    </w:p>
    <w:p w14:paraId="798D5FBE" w14:textId="77777777" w:rsidR="003459B1" w:rsidRDefault="003459B1" w:rsidP="0045407B"/>
    <w:p w14:paraId="3F9EE6F2" w14:textId="67EC035E" w:rsidR="003459B1" w:rsidRDefault="003459B1" w:rsidP="0045407B">
      <w:r>
        <w:t>This</w:t>
      </w:r>
      <w:r w:rsidR="00FD58AD">
        <w:t xml:space="preserve"> </w:t>
      </w:r>
      <w:r w:rsidR="00804D41">
        <w:t>major</w:t>
      </w:r>
      <w:r w:rsidR="00210619">
        <w:t xml:space="preserve"> </w:t>
      </w:r>
      <w:r w:rsidR="00FD58AD">
        <w:t xml:space="preserve">revision, dated </w:t>
      </w:r>
      <w:r w:rsidR="00D74551">
        <w:t>26</w:t>
      </w:r>
      <w:r w:rsidR="00A0436A">
        <w:t xml:space="preserve"> </w:t>
      </w:r>
      <w:r w:rsidR="00210619">
        <w:t>July</w:t>
      </w:r>
      <w:r w:rsidR="00FA7D21">
        <w:t xml:space="preserve"> </w:t>
      </w:r>
      <w:r w:rsidR="00A0436A">
        <w:t>2019</w:t>
      </w:r>
      <w:r w:rsidR="00667DCB">
        <w:t>-</w:t>
      </w:r>
    </w:p>
    <w:p w14:paraId="4E0EB38C" w14:textId="77777777" w:rsidR="00136F6F" w:rsidRDefault="00136F6F" w:rsidP="0045407B"/>
    <w:p w14:paraId="250ACF56" w14:textId="77777777" w:rsidR="001B54C7" w:rsidRDefault="002A3EE1" w:rsidP="002A3EE1">
      <w:proofErr w:type="gramStart"/>
      <w:r>
        <w:t xml:space="preserve">o  </w:t>
      </w:r>
      <w:r w:rsidR="00C0169A">
        <w:t>Realigns</w:t>
      </w:r>
      <w:proofErr w:type="gramEnd"/>
      <w:r w:rsidR="00C0169A">
        <w:t xml:space="preserve"> </w:t>
      </w:r>
      <w:r w:rsidR="006F79D3">
        <w:t>superior competent authorities</w:t>
      </w:r>
      <w:r w:rsidR="00D023CD">
        <w:t xml:space="preserve"> </w:t>
      </w:r>
      <w:r w:rsidR="00F91539">
        <w:t>(</w:t>
      </w:r>
      <w:r w:rsidR="00E30C09">
        <w:t>para</w:t>
      </w:r>
      <w:r w:rsidR="00F91539">
        <w:t xml:space="preserve"> 2-2)</w:t>
      </w:r>
      <w:r w:rsidR="006F79D3">
        <w:t>.</w:t>
      </w:r>
    </w:p>
    <w:p w14:paraId="2AC0E90A" w14:textId="77777777" w:rsidR="001B54C7" w:rsidRDefault="001B54C7" w:rsidP="002A3EE1">
      <w:pPr>
        <w:pStyle w:val="ListParagraph"/>
      </w:pPr>
    </w:p>
    <w:p w14:paraId="45B8F375" w14:textId="77777777" w:rsidR="00303BDB" w:rsidRDefault="00303BDB" w:rsidP="00303BDB">
      <w:proofErr w:type="gramStart"/>
      <w:r>
        <w:t xml:space="preserve">o  </w:t>
      </w:r>
      <w:r w:rsidR="001E636A">
        <w:t>Establishes</w:t>
      </w:r>
      <w:proofErr w:type="gramEnd"/>
      <w:r w:rsidR="001E636A">
        <w:t xml:space="preserve"> </w:t>
      </w:r>
      <w:r w:rsidR="005F6241">
        <w:t xml:space="preserve">reporting </w:t>
      </w:r>
      <w:r w:rsidR="001E636A">
        <w:t>requirement</w:t>
      </w:r>
      <w:r w:rsidR="005F6241">
        <w:t>s</w:t>
      </w:r>
      <w:r w:rsidR="003C420F">
        <w:t xml:space="preserve"> </w:t>
      </w:r>
      <w:r w:rsidR="00DB1A46">
        <w:t>(</w:t>
      </w:r>
      <w:r w:rsidR="00E30C09">
        <w:t>para</w:t>
      </w:r>
      <w:r w:rsidR="00DB1A46">
        <w:t xml:space="preserve"> 3-1</w:t>
      </w:r>
      <w:r w:rsidR="00DB1A46" w:rsidRPr="004633C7">
        <w:t>)</w:t>
      </w:r>
      <w:r w:rsidR="00936439">
        <w:t>.</w:t>
      </w:r>
    </w:p>
    <w:p w14:paraId="6360ACA3" w14:textId="77777777" w:rsidR="00DB1A46" w:rsidRDefault="00DB1A46" w:rsidP="00303BDB"/>
    <w:p w14:paraId="0ECBE0F4" w14:textId="77777777" w:rsidR="00DB1A46" w:rsidRDefault="00D24088" w:rsidP="00303BDB">
      <w:proofErr w:type="gramStart"/>
      <w:r>
        <w:t xml:space="preserve">o </w:t>
      </w:r>
      <w:r w:rsidR="00D46273">
        <w:t xml:space="preserve"> </w:t>
      </w:r>
      <w:r w:rsidR="00EF6BF5">
        <w:t>Establishes</w:t>
      </w:r>
      <w:proofErr w:type="gramEnd"/>
      <w:r w:rsidR="00EF6BF5">
        <w:t xml:space="preserve"> court</w:t>
      </w:r>
      <w:r w:rsidR="005F6241">
        <w:t>s</w:t>
      </w:r>
      <w:r w:rsidR="00EF6BF5">
        <w:t xml:space="preserve">-martial results reporting </w:t>
      </w:r>
      <w:r w:rsidR="005F6241">
        <w:t xml:space="preserve">requirement </w:t>
      </w:r>
      <w:r w:rsidR="00EF6BF5">
        <w:t>(</w:t>
      </w:r>
      <w:r w:rsidR="00E30C09">
        <w:t>para</w:t>
      </w:r>
      <w:r w:rsidR="00EF6BF5">
        <w:t xml:space="preserve"> 3-2)</w:t>
      </w:r>
      <w:r w:rsidR="00936439">
        <w:t>.</w:t>
      </w:r>
    </w:p>
    <w:p w14:paraId="3E81AE28" w14:textId="77777777" w:rsidR="00CD1D9F" w:rsidRDefault="00CD1D9F" w:rsidP="00E00399">
      <w:pPr>
        <w:pBdr>
          <w:bottom w:val="single" w:sz="4" w:space="1" w:color="auto"/>
        </w:pBdr>
      </w:pPr>
    </w:p>
    <w:p w14:paraId="4A2AB044" w14:textId="77777777" w:rsidR="00E00399" w:rsidRDefault="00E00399" w:rsidP="00303BDB"/>
    <w:p w14:paraId="1003133E" w14:textId="27C83A06" w:rsidR="002A3EE1" w:rsidRPr="00222BA4" w:rsidRDefault="002A3EE1" w:rsidP="00D60113">
      <w:pPr>
        <w:rPr>
          <w:b/>
        </w:rPr>
      </w:pPr>
      <w:r w:rsidRPr="00222BA4">
        <w:rPr>
          <w:b/>
        </w:rPr>
        <w:t>Contents</w:t>
      </w:r>
    </w:p>
    <w:p w14:paraId="6105FBC7" w14:textId="77777777" w:rsidR="00FB3FC9" w:rsidRPr="00D60113" w:rsidRDefault="00FB3FC9" w:rsidP="00D60113">
      <w:pPr>
        <w:jc w:val="right"/>
        <w:rPr>
          <w:sz w:val="20"/>
          <w:szCs w:val="20"/>
        </w:rPr>
      </w:pPr>
      <w:r w:rsidRPr="00D60113">
        <w:rPr>
          <w:sz w:val="20"/>
          <w:szCs w:val="20"/>
        </w:rPr>
        <w:t>Page</w:t>
      </w:r>
    </w:p>
    <w:p w14:paraId="72D1EA62" w14:textId="4FE2BF1A" w:rsidR="0031246B" w:rsidRPr="00667DCB" w:rsidRDefault="0031246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67DCB">
        <w:rPr>
          <w:b w:val="0"/>
        </w:rPr>
        <w:fldChar w:fldCharType="begin"/>
      </w:r>
      <w:r w:rsidRPr="00667DCB">
        <w:rPr>
          <w:b w:val="0"/>
        </w:rPr>
        <w:instrText xml:space="preserve"> TOC \o "1-2" \h \z \u </w:instrText>
      </w:r>
      <w:r w:rsidRPr="00667DCB">
        <w:rPr>
          <w:b w:val="0"/>
        </w:rPr>
        <w:fldChar w:fldCharType="separate"/>
      </w:r>
      <w:hyperlink w:anchor="_Toc14700059" w:history="1">
        <w:r w:rsidRPr="00667DCB">
          <w:rPr>
            <w:rStyle w:val="Hyperlink"/>
            <w:b w:val="0"/>
            <w:noProof/>
          </w:rPr>
          <w:t xml:space="preserve">Chapter l  </w:t>
        </w:r>
      </w:hyperlink>
      <w:hyperlink w:anchor="_Toc14700060" w:history="1">
        <w:r w:rsidRPr="00667DCB">
          <w:rPr>
            <w:rStyle w:val="Hyperlink"/>
            <w:b w:val="0"/>
            <w:noProof/>
          </w:rPr>
          <w:t>Introduction</w:t>
        </w:r>
        <w:r w:rsidRPr="00667DCB">
          <w:rPr>
            <w:b w:val="0"/>
            <w:noProof/>
            <w:webHidden/>
          </w:rPr>
          <w:tab/>
        </w:r>
        <w:r w:rsidRPr="00667DCB">
          <w:rPr>
            <w:b w:val="0"/>
            <w:noProof/>
            <w:webHidden/>
          </w:rPr>
          <w:fldChar w:fldCharType="begin"/>
        </w:r>
        <w:r w:rsidRPr="00667DCB">
          <w:rPr>
            <w:b w:val="0"/>
            <w:noProof/>
            <w:webHidden/>
          </w:rPr>
          <w:instrText xml:space="preserve"> PAGEREF _Toc14700060 \h </w:instrText>
        </w:r>
        <w:r w:rsidRPr="00667DCB">
          <w:rPr>
            <w:b w:val="0"/>
            <w:noProof/>
            <w:webHidden/>
          </w:rPr>
        </w:r>
        <w:r w:rsidRPr="00667DCB">
          <w:rPr>
            <w:b w:val="0"/>
            <w:noProof/>
            <w:webHidden/>
          </w:rPr>
          <w:fldChar w:fldCharType="separate"/>
        </w:r>
        <w:r w:rsidR="009679AB">
          <w:rPr>
            <w:b w:val="0"/>
            <w:noProof/>
            <w:webHidden/>
          </w:rPr>
          <w:t>3</w:t>
        </w:r>
        <w:r w:rsidRPr="00667DCB">
          <w:rPr>
            <w:b w:val="0"/>
            <w:noProof/>
            <w:webHidden/>
          </w:rPr>
          <w:fldChar w:fldCharType="end"/>
        </w:r>
      </w:hyperlink>
    </w:p>
    <w:p w14:paraId="7A19A4C3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61" w:history="1">
        <w:r w:rsidR="0031246B" w:rsidRPr="00667DCB">
          <w:rPr>
            <w:rStyle w:val="Hyperlink"/>
            <w:noProof/>
          </w:rPr>
          <w:t>1-1.  Purpose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_Toc14700061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3</w:t>
        </w:r>
        <w:r w:rsidR="0031246B" w:rsidRPr="00667DCB">
          <w:rPr>
            <w:noProof/>
            <w:webHidden/>
          </w:rPr>
          <w:fldChar w:fldCharType="end"/>
        </w:r>
      </w:hyperlink>
    </w:p>
    <w:p w14:paraId="44D2D416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62" w:history="1">
        <w:r w:rsidR="0031246B" w:rsidRPr="00667DCB">
          <w:rPr>
            <w:rStyle w:val="Hyperlink"/>
            <w:noProof/>
          </w:rPr>
          <w:t>1-2.  References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_Toc14700062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3</w:t>
        </w:r>
        <w:r w:rsidR="0031246B" w:rsidRPr="00667DCB">
          <w:rPr>
            <w:noProof/>
            <w:webHidden/>
          </w:rPr>
          <w:fldChar w:fldCharType="end"/>
        </w:r>
      </w:hyperlink>
    </w:p>
    <w:p w14:paraId="671F2496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63" w:history="1">
        <w:r w:rsidR="0031246B" w:rsidRPr="00667DCB">
          <w:rPr>
            <w:rStyle w:val="Hyperlink"/>
            <w:noProof/>
          </w:rPr>
          <w:t>1-3.  Explanation of abbreviations and terms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_Toc14700063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3</w:t>
        </w:r>
        <w:r w:rsidR="0031246B" w:rsidRPr="00667DCB">
          <w:rPr>
            <w:noProof/>
            <w:webHidden/>
          </w:rPr>
          <w:fldChar w:fldCharType="end"/>
        </w:r>
      </w:hyperlink>
    </w:p>
    <w:p w14:paraId="30CB6B1B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64" w:history="1">
        <w:r w:rsidR="0031246B" w:rsidRPr="00667DCB">
          <w:rPr>
            <w:rStyle w:val="Hyperlink"/>
            <w:noProof/>
          </w:rPr>
          <w:t>1-4.  Responsibilities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_Toc14700064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3</w:t>
        </w:r>
        <w:r w:rsidR="0031246B" w:rsidRPr="00667DCB">
          <w:rPr>
            <w:noProof/>
            <w:webHidden/>
          </w:rPr>
          <w:fldChar w:fldCharType="end"/>
        </w:r>
      </w:hyperlink>
    </w:p>
    <w:p w14:paraId="06D8B1C5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65" w:history="1">
        <w:r w:rsidR="0031246B" w:rsidRPr="00667DCB">
          <w:rPr>
            <w:rStyle w:val="Hyperlink"/>
            <w:noProof/>
          </w:rPr>
          <w:t>1-5.  Records management requirements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_Toc14700065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3</w:t>
        </w:r>
        <w:r w:rsidR="0031246B" w:rsidRPr="00667DCB">
          <w:rPr>
            <w:noProof/>
            <w:webHidden/>
          </w:rPr>
          <w:fldChar w:fldCharType="end"/>
        </w:r>
      </w:hyperlink>
    </w:p>
    <w:p w14:paraId="27BF44C4" w14:textId="28A492C0" w:rsidR="0031246B" w:rsidRPr="00667DCB" w:rsidRDefault="00D54EC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00066" w:history="1">
        <w:r w:rsidR="0031246B" w:rsidRPr="00667DCB">
          <w:rPr>
            <w:rStyle w:val="Hyperlink"/>
            <w:b w:val="0"/>
            <w:noProof/>
          </w:rPr>
          <w:t xml:space="preserve">Chapter 2  </w:t>
        </w:r>
      </w:hyperlink>
      <w:hyperlink w:anchor="_Toc14700067" w:history="1">
        <w:r w:rsidR="0031246B" w:rsidRPr="00667DCB">
          <w:rPr>
            <w:rStyle w:val="Hyperlink"/>
            <w:b w:val="0"/>
            <w:noProof/>
          </w:rPr>
          <w:t>Superior Competent Authorities (SCAs)</w:t>
        </w:r>
        <w:r w:rsidR="0031246B" w:rsidRPr="00667DCB">
          <w:rPr>
            <w:b w:val="0"/>
            <w:noProof/>
            <w:webHidden/>
          </w:rPr>
          <w:tab/>
        </w:r>
        <w:r w:rsidR="0031246B" w:rsidRPr="00667DCB">
          <w:rPr>
            <w:b w:val="0"/>
            <w:noProof/>
            <w:webHidden/>
          </w:rPr>
          <w:fldChar w:fldCharType="begin"/>
        </w:r>
        <w:r w:rsidR="0031246B" w:rsidRPr="00667DCB">
          <w:rPr>
            <w:b w:val="0"/>
            <w:noProof/>
            <w:webHidden/>
          </w:rPr>
          <w:instrText xml:space="preserve"> PAGEREF _Toc14700067 \h </w:instrText>
        </w:r>
        <w:r w:rsidR="0031246B" w:rsidRPr="00667DCB">
          <w:rPr>
            <w:b w:val="0"/>
            <w:noProof/>
            <w:webHidden/>
          </w:rPr>
        </w:r>
        <w:r w:rsidR="0031246B" w:rsidRPr="00667DCB">
          <w:rPr>
            <w:b w:val="0"/>
            <w:noProof/>
            <w:webHidden/>
          </w:rPr>
          <w:fldChar w:fldCharType="separate"/>
        </w:r>
        <w:r w:rsidR="009679AB">
          <w:rPr>
            <w:b w:val="0"/>
            <w:noProof/>
            <w:webHidden/>
          </w:rPr>
          <w:t>3</w:t>
        </w:r>
        <w:r w:rsidR="0031246B" w:rsidRPr="00667DCB">
          <w:rPr>
            <w:b w:val="0"/>
            <w:noProof/>
            <w:webHidden/>
          </w:rPr>
          <w:fldChar w:fldCharType="end"/>
        </w:r>
      </w:hyperlink>
    </w:p>
    <w:p w14:paraId="6FBDCFBE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68" w:history="1">
        <w:r w:rsidR="0031246B" w:rsidRPr="00667DCB">
          <w:rPr>
            <w:rStyle w:val="Hyperlink"/>
            <w:noProof/>
          </w:rPr>
          <w:t>2-1.  General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_Toc14700068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3</w:t>
        </w:r>
        <w:r w:rsidR="0031246B" w:rsidRPr="00667DCB">
          <w:rPr>
            <w:noProof/>
            <w:webHidden/>
          </w:rPr>
          <w:fldChar w:fldCharType="end"/>
        </w:r>
      </w:hyperlink>
    </w:p>
    <w:p w14:paraId="5FD7A33C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69" w:history="1">
        <w:r w:rsidR="0031246B" w:rsidRPr="00667DCB">
          <w:rPr>
            <w:rStyle w:val="Hyperlink"/>
            <w:noProof/>
          </w:rPr>
          <w:t>2-2.  Jurisdictional alignment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_Toc14700069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4</w:t>
        </w:r>
        <w:r w:rsidR="0031246B" w:rsidRPr="00667DCB">
          <w:rPr>
            <w:noProof/>
            <w:webHidden/>
          </w:rPr>
          <w:fldChar w:fldCharType="end"/>
        </w:r>
      </w:hyperlink>
    </w:p>
    <w:p w14:paraId="6E9E0E55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70" w:history="1">
        <w:r w:rsidR="0031246B" w:rsidRPr="00667DCB">
          <w:rPr>
            <w:rStyle w:val="Hyperlink"/>
            <w:noProof/>
          </w:rPr>
          <w:t>2-3.  Nonjudicial punishment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_Toc14700070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5</w:t>
        </w:r>
        <w:r w:rsidR="0031246B" w:rsidRPr="00667DCB">
          <w:rPr>
            <w:noProof/>
            <w:webHidden/>
          </w:rPr>
          <w:fldChar w:fldCharType="end"/>
        </w:r>
      </w:hyperlink>
    </w:p>
    <w:p w14:paraId="4098D567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71" w:history="1">
        <w:r w:rsidR="0031246B" w:rsidRPr="00667DCB">
          <w:rPr>
            <w:rStyle w:val="Hyperlink"/>
            <w:noProof/>
          </w:rPr>
          <w:t>2-4.  Unfavorable information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_Toc14700071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6</w:t>
        </w:r>
        <w:r w:rsidR="0031246B" w:rsidRPr="00667DCB">
          <w:rPr>
            <w:noProof/>
            <w:webHidden/>
          </w:rPr>
          <w:fldChar w:fldCharType="end"/>
        </w:r>
      </w:hyperlink>
    </w:p>
    <w:p w14:paraId="21E05BB7" w14:textId="770D20C8" w:rsidR="0031246B" w:rsidRPr="00667DCB" w:rsidRDefault="00D54EC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00072" w:history="1">
        <w:r w:rsidR="0031246B" w:rsidRPr="00667DCB">
          <w:rPr>
            <w:rStyle w:val="Hyperlink"/>
            <w:b w:val="0"/>
            <w:noProof/>
          </w:rPr>
          <w:t xml:space="preserve">Chapter 3  </w:t>
        </w:r>
      </w:hyperlink>
      <w:hyperlink w:anchor="_Toc14700073" w:history="1">
        <w:r w:rsidR="0031246B" w:rsidRPr="00667DCB">
          <w:rPr>
            <w:rStyle w:val="Hyperlink"/>
            <w:b w:val="0"/>
            <w:noProof/>
          </w:rPr>
          <w:t>Reports of Offenses</w:t>
        </w:r>
        <w:r w:rsidR="0031246B" w:rsidRPr="00667DCB">
          <w:rPr>
            <w:b w:val="0"/>
            <w:noProof/>
            <w:webHidden/>
          </w:rPr>
          <w:tab/>
        </w:r>
        <w:r w:rsidR="0031246B" w:rsidRPr="00667DCB">
          <w:rPr>
            <w:b w:val="0"/>
            <w:noProof/>
            <w:webHidden/>
          </w:rPr>
          <w:fldChar w:fldCharType="begin"/>
        </w:r>
        <w:r w:rsidR="0031246B" w:rsidRPr="00667DCB">
          <w:rPr>
            <w:b w:val="0"/>
            <w:noProof/>
            <w:webHidden/>
          </w:rPr>
          <w:instrText xml:space="preserve"> PAGEREF _Toc14700073 \h </w:instrText>
        </w:r>
        <w:r w:rsidR="0031246B" w:rsidRPr="00667DCB">
          <w:rPr>
            <w:b w:val="0"/>
            <w:noProof/>
            <w:webHidden/>
          </w:rPr>
        </w:r>
        <w:r w:rsidR="0031246B" w:rsidRPr="00667DCB">
          <w:rPr>
            <w:b w:val="0"/>
            <w:noProof/>
            <w:webHidden/>
          </w:rPr>
          <w:fldChar w:fldCharType="separate"/>
        </w:r>
        <w:r w:rsidR="009679AB">
          <w:rPr>
            <w:b w:val="0"/>
            <w:noProof/>
            <w:webHidden/>
          </w:rPr>
          <w:t>6</w:t>
        </w:r>
        <w:r w:rsidR="0031246B" w:rsidRPr="00667DCB">
          <w:rPr>
            <w:b w:val="0"/>
            <w:noProof/>
            <w:webHidden/>
          </w:rPr>
          <w:fldChar w:fldCharType="end"/>
        </w:r>
      </w:hyperlink>
    </w:p>
    <w:p w14:paraId="372B4D14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74" w:history="1">
        <w:r w:rsidR="0031246B" w:rsidRPr="00667DCB">
          <w:rPr>
            <w:rStyle w:val="Hyperlink"/>
            <w:noProof/>
          </w:rPr>
          <w:t>3-1.  Significant alleged misconduct and high-profile case reporting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_Toc14700074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6</w:t>
        </w:r>
        <w:r w:rsidR="0031246B" w:rsidRPr="00667DCB">
          <w:rPr>
            <w:noProof/>
            <w:webHidden/>
          </w:rPr>
          <w:fldChar w:fldCharType="end"/>
        </w:r>
      </w:hyperlink>
    </w:p>
    <w:p w14:paraId="1338CAB1" w14:textId="77777777" w:rsidR="0031246B" w:rsidRPr="00667DCB" w:rsidRDefault="00D54E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00075" w:history="1">
        <w:r w:rsidR="0031246B" w:rsidRPr="00667DCB">
          <w:rPr>
            <w:rStyle w:val="Hyperlink"/>
            <w:noProof/>
          </w:rPr>
          <w:t>3-2.  Court-martial results reporting</w:t>
        </w:r>
        <w:r w:rsidR="0031246B" w:rsidRPr="00667DCB">
          <w:rPr>
            <w:noProof/>
            <w:webHidden/>
          </w:rPr>
          <w:tab/>
        </w:r>
        <w:r w:rsidR="0031246B" w:rsidRPr="00667DCB">
          <w:rPr>
            <w:noProof/>
            <w:webHidden/>
          </w:rPr>
          <w:fldChar w:fldCharType="begin"/>
        </w:r>
        <w:r w:rsidR="0031246B" w:rsidRPr="00667DCB">
          <w:rPr>
            <w:noProof/>
            <w:webHidden/>
          </w:rPr>
          <w:instrText xml:space="preserve"> PAGEREF _Toc14700075 \h </w:instrText>
        </w:r>
        <w:r w:rsidR="0031246B" w:rsidRPr="00667DCB">
          <w:rPr>
            <w:noProof/>
            <w:webHidden/>
          </w:rPr>
        </w:r>
        <w:r w:rsidR="0031246B" w:rsidRPr="00667DCB">
          <w:rPr>
            <w:noProof/>
            <w:webHidden/>
          </w:rPr>
          <w:fldChar w:fldCharType="separate"/>
        </w:r>
        <w:r w:rsidR="009679AB">
          <w:rPr>
            <w:noProof/>
            <w:webHidden/>
          </w:rPr>
          <w:t>7</w:t>
        </w:r>
        <w:r w:rsidR="0031246B" w:rsidRPr="00667DCB">
          <w:rPr>
            <w:noProof/>
            <w:webHidden/>
          </w:rPr>
          <w:fldChar w:fldCharType="end"/>
        </w:r>
      </w:hyperlink>
    </w:p>
    <w:p w14:paraId="04797FE7" w14:textId="5C1BE605" w:rsidR="0031246B" w:rsidRPr="00667DCB" w:rsidRDefault="00D54EC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00076" w:history="1">
        <w:r w:rsidR="0031246B" w:rsidRPr="00667DCB">
          <w:rPr>
            <w:rStyle w:val="Hyperlink"/>
            <w:b w:val="0"/>
            <w:noProof/>
          </w:rPr>
          <w:t xml:space="preserve">Appendix A  </w:t>
        </w:r>
      </w:hyperlink>
      <w:hyperlink w:anchor="_Toc14700077" w:history="1">
        <w:r w:rsidR="0031246B" w:rsidRPr="00667DCB">
          <w:rPr>
            <w:rStyle w:val="Hyperlink"/>
            <w:b w:val="0"/>
            <w:noProof/>
          </w:rPr>
          <w:t>References</w:t>
        </w:r>
        <w:r w:rsidR="0031246B" w:rsidRPr="00667DCB">
          <w:rPr>
            <w:b w:val="0"/>
            <w:noProof/>
            <w:webHidden/>
          </w:rPr>
          <w:tab/>
        </w:r>
        <w:r w:rsidR="0031246B" w:rsidRPr="00667DCB">
          <w:rPr>
            <w:b w:val="0"/>
            <w:noProof/>
            <w:webHidden/>
          </w:rPr>
          <w:fldChar w:fldCharType="begin"/>
        </w:r>
        <w:r w:rsidR="0031246B" w:rsidRPr="00667DCB">
          <w:rPr>
            <w:b w:val="0"/>
            <w:noProof/>
            <w:webHidden/>
          </w:rPr>
          <w:instrText xml:space="preserve"> PAGEREF _Toc14700077 \h </w:instrText>
        </w:r>
        <w:r w:rsidR="0031246B" w:rsidRPr="00667DCB">
          <w:rPr>
            <w:b w:val="0"/>
            <w:noProof/>
            <w:webHidden/>
          </w:rPr>
        </w:r>
        <w:r w:rsidR="0031246B" w:rsidRPr="00667DCB">
          <w:rPr>
            <w:b w:val="0"/>
            <w:noProof/>
            <w:webHidden/>
          </w:rPr>
          <w:fldChar w:fldCharType="separate"/>
        </w:r>
        <w:r w:rsidR="009679AB">
          <w:rPr>
            <w:b w:val="0"/>
            <w:noProof/>
            <w:webHidden/>
          </w:rPr>
          <w:t>7</w:t>
        </w:r>
        <w:r w:rsidR="0031246B" w:rsidRPr="00667DCB">
          <w:rPr>
            <w:b w:val="0"/>
            <w:noProof/>
            <w:webHidden/>
          </w:rPr>
          <w:fldChar w:fldCharType="end"/>
        </w:r>
      </w:hyperlink>
    </w:p>
    <w:p w14:paraId="442C6A0E" w14:textId="77777777" w:rsidR="0031246B" w:rsidRPr="00667DCB" w:rsidRDefault="00D54EC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00078" w:history="1">
        <w:r w:rsidR="0031246B" w:rsidRPr="00667DCB">
          <w:rPr>
            <w:rStyle w:val="Hyperlink"/>
            <w:b w:val="0"/>
            <w:noProof/>
          </w:rPr>
          <w:t>Glossary</w:t>
        </w:r>
        <w:r w:rsidR="0031246B" w:rsidRPr="00667DCB">
          <w:rPr>
            <w:b w:val="0"/>
            <w:noProof/>
            <w:webHidden/>
          </w:rPr>
          <w:tab/>
        </w:r>
        <w:r w:rsidR="0031246B" w:rsidRPr="00667DCB">
          <w:rPr>
            <w:b w:val="0"/>
            <w:noProof/>
            <w:webHidden/>
          </w:rPr>
          <w:fldChar w:fldCharType="begin"/>
        </w:r>
        <w:r w:rsidR="0031246B" w:rsidRPr="00667DCB">
          <w:rPr>
            <w:b w:val="0"/>
            <w:noProof/>
            <w:webHidden/>
          </w:rPr>
          <w:instrText xml:space="preserve"> PAGEREF _Toc14700078 \h </w:instrText>
        </w:r>
        <w:r w:rsidR="0031246B" w:rsidRPr="00667DCB">
          <w:rPr>
            <w:b w:val="0"/>
            <w:noProof/>
            <w:webHidden/>
          </w:rPr>
        </w:r>
        <w:r w:rsidR="0031246B" w:rsidRPr="00667DCB">
          <w:rPr>
            <w:b w:val="0"/>
            <w:noProof/>
            <w:webHidden/>
          </w:rPr>
          <w:fldChar w:fldCharType="separate"/>
        </w:r>
        <w:r w:rsidR="009679AB">
          <w:rPr>
            <w:b w:val="0"/>
            <w:noProof/>
            <w:webHidden/>
          </w:rPr>
          <w:t>8</w:t>
        </w:r>
        <w:r w:rsidR="0031246B" w:rsidRPr="00667DCB">
          <w:rPr>
            <w:b w:val="0"/>
            <w:noProof/>
            <w:webHidden/>
          </w:rPr>
          <w:fldChar w:fldCharType="end"/>
        </w:r>
      </w:hyperlink>
    </w:p>
    <w:p w14:paraId="0E69DED0" w14:textId="027EF7F5" w:rsidR="004E4EC8" w:rsidRPr="001F7137" w:rsidRDefault="0031246B" w:rsidP="001F7137">
      <w:r w:rsidRPr="00667DCB">
        <w:fldChar w:fldCharType="end"/>
      </w:r>
      <w:r w:rsidR="00AE132D">
        <w:fldChar w:fldCharType="begin"/>
      </w:r>
      <w:r w:rsidR="00AE132D">
        <w:instrText xml:space="preserve"> TOC \o "1-2" \h \z \u </w:instrText>
      </w:r>
      <w:r w:rsidR="00AE132D">
        <w:fldChar w:fldCharType="end"/>
      </w:r>
    </w:p>
    <w:p w14:paraId="0E957A7A" w14:textId="77777777" w:rsidR="00FB3FC9" w:rsidRPr="003E5138" w:rsidRDefault="00FB3FC9" w:rsidP="00443899">
      <w:pPr>
        <w:rPr>
          <w:b/>
        </w:rPr>
      </w:pPr>
      <w:r w:rsidRPr="003E5138">
        <w:rPr>
          <w:b/>
        </w:rPr>
        <w:t>Figure List</w:t>
      </w:r>
    </w:p>
    <w:p w14:paraId="033E89F4" w14:textId="77777777" w:rsidR="001F7137" w:rsidRDefault="00FB3FC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E5138">
        <w:fldChar w:fldCharType="begin"/>
      </w:r>
      <w:r w:rsidRPr="003E5138">
        <w:instrText xml:space="preserve"> TOC \h \z \t "Figure" \c "Figure" </w:instrText>
      </w:r>
      <w:r w:rsidRPr="003E5138">
        <w:fldChar w:fldCharType="separate"/>
      </w:r>
      <w:hyperlink w:anchor="_Toc14699875" w:history="1">
        <w:r w:rsidR="001F7137" w:rsidRPr="009678C8">
          <w:rPr>
            <w:rStyle w:val="Hyperlink"/>
            <w:noProof/>
          </w:rPr>
          <w:t>Figure 2-1.  SCA alignment for U.S. Army Training and Doctrine Command (TRADOC) centers, schools, and activities on TRADOC-led installations</w:t>
        </w:r>
        <w:r w:rsidR="001F7137">
          <w:rPr>
            <w:noProof/>
            <w:webHidden/>
          </w:rPr>
          <w:tab/>
        </w:r>
        <w:r w:rsidR="001F7137">
          <w:rPr>
            <w:noProof/>
            <w:webHidden/>
          </w:rPr>
          <w:fldChar w:fldCharType="begin"/>
        </w:r>
        <w:r w:rsidR="001F7137">
          <w:rPr>
            <w:noProof/>
            <w:webHidden/>
          </w:rPr>
          <w:instrText xml:space="preserve"> PAGEREF _Toc14699875 \h </w:instrText>
        </w:r>
        <w:r w:rsidR="001F7137">
          <w:rPr>
            <w:noProof/>
            <w:webHidden/>
          </w:rPr>
        </w:r>
        <w:r w:rsidR="001F7137">
          <w:rPr>
            <w:noProof/>
            <w:webHidden/>
          </w:rPr>
          <w:fldChar w:fldCharType="separate"/>
        </w:r>
        <w:r w:rsidR="00070B0E">
          <w:rPr>
            <w:noProof/>
            <w:webHidden/>
          </w:rPr>
          <w:t>4</w:t>
        </w:r>
        <w:r w:rsidR="001F7137">
          <w:rPr>
            <w:noProof/>
            <w:webHidden/>
          </w:rPr>
          <w:fldChar w:fldCharType="end"/>
        </w:r>
      </w:hyperlink>
    </w:p>
    <w:p w14:paraId="113F0C7E" w14:textId="77777777" w:rsidR="001F7137" w:rsidRDefault="00D54EC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9876" w:history="1">
        <w:r w:rsidR="001F7137" w:rsidRPr="009678C8">
          <w:rPr>
            <w:rStyle w:val="Hyperlink"/>
            <w:noProof/>
          </w:rPr>
          <w:t>Figure 2-2.  Alignment of non-TRADOC general court-martial convening authorities (GCMCAs)/SCAs for TRADOC installations/activities on non-TRADOC installations</w:t>
        </w:r>
        <w:r w:rsidR="001F7137">
          <w:rPr>
            <w:noProof/>
            <w:webHidden/>
          </w:rPr>
          <w:tab/>
        </w:r>
        <w:r w:rsidR="001F7137">
          <w:rPr>
            <w:noProof/>
            <w:webHidden/>
          </w:rPr>
          <w:fldChar w:fldCharType="begin"/>
        </w:r>
        <w:r w:rsidR="001F7137">
          <w:rPr>
            <w:noProof/>
            <w:webHidden/>
          </w:rPr>
          <w:instrText xml:space="preserve"> PAGEREF _Toc14699876 \h </w:instrText>
        </w:r>
        <w:r w:rsidR="001F7137">
          <w:rPr>
            <w:noProof/>
            <w:webHidden/>
          </w:rPr>
        </w:r>
        <w:r w:rsidR="001F7137">
          <w:rPr>
            <w:noProof/>
            <w:webHidden/>
          </w:rPr>
          <w:fldChar w:fldCharType="separate"/>
        </w:r>
        <w:r w:rsidR="00070B0E">
          <w:rPr>
            <w:noProof/>
            <w:webHidden/>
          </w:rPr>
          <w:t>5</w:t>
        </w:r>
        <w:r w:rsidR="001F7137">
          <w:rPr>
            <w:noProof/>
            <w:webHidden/>
          </w:rPr>
          <w:fldChar w:fldCharType="end"/>
        </w:r>
      </w:hyperlink>
    </w:p>
    <w:p w14:paraId="3ACEEFC1" w14:textId="77777777" w:rsidR="001F7137" w:rsidRDefault="00D54EC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99877" w:history="1">
        <w:r w:rsidR="001F7137" w:rsidRPr="009678C8">
          <w:rPr>
            <w:rStyle w:val="Hyperlink"/>
            <w:noProof/>
          </w:rPr>
          <w:t>Figure 2-3.  Sample format for Article 15 appeal transmittal</w:t>
        </w:r>
        <w:r w:rsidR="001F7137">
          <w:rPr>
            <w:noProof/>
            <w:webHidden/>
          </w:rPr>
          <w:tab/>
        </w:r>
        <w:r w:rsidR="001F7137">
          <w:rPr>
            <w:noProof/>
            <w:webHidden/>
          </w:rPr>
          <w:fldChar w:fldCharType="begin"/>
        </w:r>
        <w:r w:rsidR="001F7137">
          <w:rPr>
            <w:noProof/>
            <w:webHidden/>
          </w:rPr>
          <w:instrText xml:space="preserve"> PAGEREF _Toc14699877 \h </w:instrText>
        </w:r>
        <w:r w:rsidR="001F7137">
          <w:rPr>
            <w:noProof/>
            <w:webHidden/>
          </w:rPr>
        </w:r>
        <w:r w:rsidR="001F7137">
          <w:rPr>
            <w:noProof/>
            <w:webHidden/>
          </w:rPr>
          <w:fldChar w:fldCharType="separate"/>
        </w:r>
        <w:r w:rsidR="00070B0E">
          <w:rPr>
            <w:noProof/>
            <w:webHidden/>
          </w:rPr>
          <w:t>6</w:t>
        </w:r>
        <w:r w:rsidR="001F7137">
          <w:rPr>
            <w:noProof/>
            <w:webHidden/>
          </w:rPr>
          <w:fldChar w:fldCharType="end"/>
        </w:r>
      </w:hyperlink>
    </w:p>
    <w:p w14:paraId="41F49D74" w14:textId="7F76B0B8" w:rsidR="00E60658" w:rsidRDefault="00FB3FC9" w:rsidP="00E60658">
      <w:r w:rsidRPr="003E5138">
        <w:fldChar w:fldCharType="end"/>
      </w:r>
    </w:p>
    <w:p w14:paraId="07668167" w14:textId="77777777" w:rsidR="00E00399" w:rsidRDefault="00E00399" w:rsidP="00E60658">
      <w:pPr>
        <w:rPr>
          <w:b/>
        </w:rPr>
      </w:pPr>
    </w:p>
    <w:p w14:paraId="5BFB1392" w14:textId="77777777" w:rsidR="00E00399" w:rsidRDefault="00E00399" w:rsidP="00E60658">
      <w:pPr>
        <w:rPr>
          <w:b/>
        </w:rPr>
      </w:pPr>
    </w:p>
    <w:p w14:paraId="60495071" w14:textId="4D0B9C76" w:rsidR="0045407B" w:rsidRPr="00443899" w:rsidRDefault="0045407B" w:rsidP="00D60113">
      <w:pPr>
        <w:pStyle w:val="Heading1"/>
      </w:pPr>
      <w:bookmarkStart w:id="1" w:name="_Toc442356511"/>
      <w:bookmarkStart w:id="2" w:name="_Toc442356625"/>
      <w:bookmarkStart w:id="3" w:name="_Toc14262635"/>
      <w:bookmarkStart w:id="4" w:name="_Toc14699896"/>
      <w:bookmarkStart w:id="5" w:name="_Toc14700011"/>
      <w:bookmarkStart w:id="6" w:name="_Toc14700059"/>
      <w:r w:rsidRPr="00443899">
        <w:lastRenderedPageBreak/>
        <w:t>Chapter l</w:t>
      </w:r>
      <w:bookmarkEnd w:id="1"/>
      <w:bookmarkEnd w:id="2"/>
      <w:bookmarkEnd w:id="3"/>
      <w:bookmarkEnd w:id="4"/>
      <w:bookmarkEnd w:id="5"/>
      <w:bookmarkEnd w:id="6"/>
    </w:p>
    <w:p w14:paraId="779FEF11" w14:textId="77777777" w:rsidR="0045407B" w:rsidRPr="000F4BA9" w:rsidRDefault="0045407B" w:rsidP="00D60113">
      <w:pPr>
        <w:pStyle w:val="Heading1"/>
      </w:pPr>
      <w:bookmarkStart w:id="7" w:name="_Toc442356512"/>
      <w:bookmarkStart w:id="8" w:name="_Toc442356626"/>
      <w:bookmarkStart w:id="9" w:name="_Toc14262788"/>
      <w:bookmarkStart w:id="10" w:name="_Toc14264376"/>
      <w:bookmarkStart w:id="11" w:name="_Toc14699897"/>
      <w:bookmarkStart w:id="12" w:name="_Toc14700012"/>
      <w:bookmarkStart w:id="13" w:name="_Toc14700060"/>
      <w:r w:rsidRPr="009667FB">
        <w:t>Introduction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DA34E38" w14:textId="77777777" w:rsidR="0045407B" w:rsidRPr="0045407B" w:rsidRDefault="0045407B" w:rsidP="002109E2">
      <w:pPr>
        <w:tabs>
          <w:tab w:val="left" w:pos="288"/>
          <w:tab w:val="left" w:pos="634"/>
        </w:tabs>
      </w:pPr>
    </w:p>
    <w:p w14:paraId="0CFC9BAE" w14:textId="77777777" w:rsidR="00A16547" w:rsidRPr="00A16547" w:rsidRDefault="0045407B" w:rsidP="00222BA4">
      <w:pPr>
        <w:pStyle w:val="Heading2"/>
      </w:pPr>
      <w:bookmarkStart w:id="14" w:name="_Toc14262636"/>
      <w:bookmarkStart w:id="15" w:name="_Toc14699898"/>
      <w:bookmarkStart w:id="16" w:name="_Toc14700013"/>
      <w:bookmarkStart w:id="17" w:name="_Toc14700061"/>
      <w:bookmarkStart w:id="18" w:name="_Toc442356513"/>
      <w:bookmarkStart w:id="19" w:name="_Toc442356627"/>
      <w:r w:rsidRPr="00A16547">
        <w:t>1-1.  Purpose</w:t>
      </w:r>
      <w:bookmarkEnd w:id="14"/>
      <w:bookmarkEnd w:id="15"/>
      <w:bookmarkEnd w:id="16"/>
      <w:bookmarkEnd w:id="17"/>
    </w:p>
    <w:bookmarkEnd w:id="18"/>
    <w:bookmarkEnd w:id="19"/>
    <w:p w14:paraId="51ED13D0" w14:textId="59D905AF" w:rsidR="0045407B" w:rsidRPr="0045407B" w:rsidRDefault="006D49AF" w:rsidP="002109E2">
      <w:pPr>
        <w:tabs>
          <w:tab w:val="left" w:pos="288"/>
          <w:tab w:val="left" w:pos="634"/>
        </w:tabs>
      </w:pPr>
      <w:r>
        <w:t xml:space="preserve">This regulation </w:t>
      </w:r>
      <w:r w:rsidR="0045407B" w:rsidRPr="0045407B">
        <w:t xml:space="preserve">designates the superior competent authorities within </w:t>
      </w:r>
      <w:r w:rsidR="00C91056">
        <w:t>U.S. Army Training and Doctrine Command (</w:t>
      </w:r>
      <w:r w:rsidR="0045407B" w:rsidRPr="0045407B">
        <w:t>TRADOC</w:t>
      </w:r>
      <w:r w:rsidR="00C91056">
        <w:t>)</w:t>
      </w:r>
      <w:r w:rsidR="0045407B" w:rsidRPr="0045407B">
        <w:t xml:space="preserve"> centers, schools, and activities for Uniform Code of Military Justice (UCMJ) and </w:t>
      </w:r>
      <w:r w:rsidR="007B4D24">
        <w:t xml:space="preserve">adverse </w:t>
      </w:r>
      <w:r w:rsidR="0045407B" w:rsidRPr="0045407B">
        <w:t>administrative action</w:t>
      </w:r>
      <w:r w:rsidR="007B4D24">
        <w:t>s</w:t>
      </w:r>
      <w:r w:rsidR="000F4BA9">
        <w:t xml:space="preserve">, identifies reporting requirements for significant alleged misconduct and high-profile cases, and </w:t>
      </w:r>
      <w:r w:rsidR="007F352D">
        <w:t>establishes supervisory responsibilities over</w:t>
      </w:r>
      <w:r w:rsidR="000F4BA9">
        <w:t xml:space="preserve"> legal technician</w:t>
      </w:r>
      <w:r w:rsidR="007F352D">
        <w:t>s</w:t>
      </w:r>
      <w:r w:rsidR="009B536F">
        <w:t>.</w:t>
      </w:r>
    </w:p>
    <w:p w14:paraId="0F1DF5D9" w14:textId="77777777" w:rsidR="0045407B" w:rsidRPr="0045407B" w:rsidRDefault="0045407B" w:rsidP="002109E2">
      <w:pPr>
        <w:tabs>
          <w:tab w:val="left" w:pos="288"/>
          <w:tab w:val="left" w:pos="634"/>
        </w:tabs>
      </w:pPr>
    </w:p>
    <w:p w14:paraId="0B6D2CCC" w14:textId="77777777" w:rsidR="00A16547" w:rsidRDefault="0045407B" w:rsidP="002109E2">
      <w:pPr>
        <w:tabs>
          <w:tab w:val="left" w:pos="288"/>
          <w:tab w:val="left" w:pos="634"/>
        </w:tabs>
        <w:rPr>
          <w:rStyle w:val="Heading2Char"/>
        </w:rPr>
      </w:pPr>
      <w:bookmarkStart w:id="20" w:name="_Toc14262637"/>
      <w:bookmarkStart w:id="21" w:name="_Toc14699899"/>
      <w:bookmarkStart w:id="22" w:name="_Toc14700014"/>
      <w:bookmarkStart w:id="23" w:name="_Toc14700062"/>
      <w:bookmarkStart w:id="24" w:name="_Toc442356514"/>
      <w:bookmarkStart w:id="25" w:name="_Toc442356628"/>
      <w:r w:rsidRPr="00443899">
        <w:rPr>
          <w:rStyle w:val="Heading2Char"/>
        </w:rPr>
        <w:t>1-2.  References</w:t>
      </w:r>
      <w:bookmarkEnd w:id="20"/>
      <w:bookmarkEnd w:id="21"/>
      <w:bookmarkEnd w:id="22"/>
      <w:bookmarkEnd w:id="23"/>
    </w:p>
    <w:bookmarkEnd w:id="24"/>
    <w:bookmarkEnd w:id="25"/>
    <w:p w14:paraId="765C52F7" w14:textId="25D602B9" w:rsidR="0045407B" w:rsidRPr="0045407B" w:rsidRDefault="007F696F" w:rsidP="002109E2">
      <w:pPr>
        <w:tabs>
          <w:tab w:val="left" w:pos="288"/>
          <w:tab w:val="left" w:pos="634"/>
        </w:tabs>
      </w:pPr>
      <w:r>
        <w:t>See</w:t>
      </w:r>
      <w:r w:rsidR="00545172">
        <w:t xml:space="preserve"> </w:t>
      </w:r>
      <w:hyperlink w:anchor="_Appendix_A" w:history="1">
        <w:r w:rsidR="00B717D6" w:rsidRPr="00B717D6">
          <w:rPr>
            <w:rStyle w:val="Hyperlink"/>
          </w:rPr>
          <w:t>a</w:t>
        </w:r>
        <w:r w:rsidR="007F352D" w:rsidRPr="00B717D6">
          <w:rPr>
            <w:rStyle w:val="Hyperlink"/>
          </w:rPr>
          <w:t xml:space="preserve">ppendix </w:t>
        </w:r>
        <w:r w:rsidR="00545172" w:rsidRPr="00B717D6">
          <w:rPr>
            <w:rStyle w:val="Hyperlink"/>
          </w:rPr>
          <w:t>A</w:t>
        </w:r>
      </w:hyperlink>
      <w:r w:rsidR="0045407B" w:rsidRPr="0045407B">
        <w:t xml:space="preserve">. </w:t>
      </w:r>
    </w:p>
    <w:p w14:paraId="4EE7CB29" w14:textId="77777777" w:rsidR="0045407B" w:rsidRPr="0045407B" w:rsidRDefault="0045407B" w:rsidP="002109E2">
      <w:pPr>
        <w:tabs>
          <w:tab w:val="left" w:pos="288"/>
          <w:tab w:val="left" w:pos="634"/>
        </w:tabs>
      </w:pPr>
    </w:p>
    <w:p w14:paraId="2D69C06F" w14:textId="77777777" w:rsidR="00A16547" w:rsidRDefault="0045407B" w:rsidP="002109E2">
      <w:pPr>
        <w:tabs>
          <w:tab w:val="left" w:pos="288"/>
          <w:tab w:val="left" w:pos="634"/>
        </w:tabs>
        <w:rPr>
          <w:rStyle w:val="Heading2Char"/>
        </w:rPr>
      </w:pPr>
      <w:bookmarkStart w:id="26" w:name="_Toc14262638"/>
      <w:bookmarkStart w:id="27" w:name="_Toc14699900"/>
      <w:bookmarkStart w:id="28" w:name="_Toc14700015"/>
      <w:bookmarkStart w:id="29" w:name="_Toc14700063"/>
      <w:bookmarkStart w:id="30" w:name="_Toc442356515"/>
      <w:bookmarkStart w:id="31" w:name="_Toc442356629"/>
      <w:r w:rsidRPr="00443899">
        <w:rPr>
          <w:rStyle w:val="Heading2Char"/>
        </w:rPr>
        <w:t>1-3.  Explanation of abbreviations and terms</w:t>
      </w:r>
      <w:bookmarkEnd w:id="26"/>
      <w:bookmarkEnd w:id="27"/>
      <w:bookmarkEnd w:id="28"/>
      <w:bookmarkEnd w:id="29"/>
    </w:p>
    <w:bookmarkEnd w:id="30"/>
    <w:bookmarkEnd w:id="31"/>
    <w:p w14:paraId="4D082250" w14:textId="18D1139B" w:rsidR="0045407B" w:rsidRDefault="00EE613E" w:rsidP="002109E2">
      <w:pPr>
        <w:tabs>
          <w:tab w:val="left" w:pos="288"/>
          <w:tab w:val="left" w:pos="634"/>
        </w:tabs>
      </w:pPr>
      <w:r w:rsidRPr="00EE613E">
        <w:t xml:space="preserve">See the </w:t>
      </w:r>
      <w:hyperlink w:anchor="_Glossary" w:history="1">
        <w:r w:rsidR="00B717D6" w:rsidRPr="00B717D6">
          <w:rPr>
            <w:rStyle w:val="Hyperlink"/>
          </w:rPr>
          <w:t>g</w:t>
        </w:r>
        <w:r w:rsidR="00BE58A3" w:rsidRPr="00B717D6">
          <w:rPr>
            <w:rStyle w:val="Hyperlink"/>
          </w:rPr>
          <w:t>lossary</w:t>
        </w:r>
      </w:hyperlink>
      <w:r w:rsidRPr="00EE613E">
        <w:t>.</w:t>
      </w:r>
    </w:p>
    <w:p w14:paraId="4C19358C" w14:textId="77777777" w:rsidR="00257B07" w:rsidRDefault="00257B07" w:rsidP="002109E2">
      <w:pPr>
        <w:tabs>
          <w:tab w:val="left" w:pos="288"/>
          <w:tab w:val="left" w:pos="634"/>
        </w:tabs>
      </w:pPr>
    </w:p>
    <w:p w14:paraId="7E281791" w14:textId="77777777" w:rsidR="00496FD7" w:rsidRDefault="00496FD7" w:rsidP="009667FB">
      <w:pPr>
        <w:tabs>
          <w:tab w:val="left" w:pos="288"/>
          <w:tab w:val="left" w:pos="634"/>
        </w:tabs>
      </w:pPr>
      <w:bookmarkStart w:id="32" w:name="_Toc14262639"/>
      <w:bookmarkStart w:id="33" w:name="_Toc14699901"/>
      <w:bookmarkStart w:id="34" w:name="_Toc14700016"/>
      <w:bookmarkStart w:id="35" w:name="_Toc14700064"/>
      <w:r w:rsidRPr="009667FB">
        <w:rPr>
          <w:rStyle w:val="Heading2Char"/>
        </w:rPr>
        <w:t>1-</w:t>
      </w:r>
      <w:r>
        <w:rPr>
          <w:rStyle w:val="Heading2Char"/>
        </w:rPr>
        <w:t>4</w:t>
      </w:r>
      <w:r w:rsidRPr="009667FB">
        <w:rPr>
          <w:rStyle w:val="Heading2Char"/>
        </w:rPr>
        <w:t xml:space="preserve">. </w:t>
      </w:r>
      <w:r>
        <w:rPr>
          <w:rStyle w:val="Heading2Char"/>
        </w:rPr>
        <w:t xml:space="preserve"> </w:t>
      </w:r>
      <w:r w:rsidRPr="00496FD7">
        <w:rPr>
          <w:rStyle w:val="Heading2Char"/>
        </w:rPr>
        <w:t>Responsibilities</w:t>
      </w:r>
      <w:bookmarkEnd w:id="32"/>
      <w:bookmarkEnd w:id="33"/>
      <w:bookmarkEnd w:id="34"/>
      <w:bookmarkEnd w:id="35"/>
    </w:p>
    <w:p w14:paraId="631D2277" w14:textId="77777777" w:rsidR="00850FEF" w:rsidRDefault="00850FEF" w:rsidP="00496FD7">
      <w:pPr>
        <w:tabs>
          <w:tab w:val="left" w:pos="288"/>
          <w:tab w:val="left" w:pos="634"/>
        </w:tabs>
      </w:pPr>
    </w:p>
    <w:p w14:paraId="6FC014C1" w14:textId="77777777" w:rsidR="00496FD7" w:rsidRPr="00496FD7" w:rsidRDefault="00496FD7" w:rsidP="00496FD7">
      <w:pPr>
        <w:tabs>
          <w:tab w:val="left" w:pos="288"/>
          <w:tab w:val="left" w:pos="634"/>
        </w:tabs>
      </w:pPr>
      <w:r w:rsidRPr="00496FD7">
        <w:t xml:space="preserve">     a.  Commanders of TRADOC centers, schools, and activities will ensure that matters covered by this regulation are forwarded to the appropriate authorities.</w:t>
      </w:r>
    </w:p>
    <w:p w14:paraId="36E93509" w14:textId="77777777" w:rsidR="00496FD7" w:rsidRPr="00496FD7" w:rsidRDefault="00496FD7" w:rsidP="00496FD7">
      <w:pPr>
        <w:tabs>
          <w:tab w:val="left" w:pos="288"/>
          <w:tab w:val="left" w:pos="634"/>
        </w:tabs>
      </w:pPr>
    </w:p>
    <w:p w14:paraId="2BA47D1A" w14:textId="78D6CE9A" w:rsidR="00496FD7" w:rsidRPr="00496FD7" w:rsidRDefault="00B717D6" w:rsidP="00496FD7">
      <w:pPr>
        <w:tabs>
          <w:tab w:val="left" w:pos="288"/>
          <w:tab w:val="left" w:pos="634"/>
        </w:tabs>
      </w:pPr>
      <w:r>
        <w:t xml:space="preserve">     b.  Staff judge a</w:t>
      </w:r>
      <w:r w:rsidR="00496FD7" w:rsidRPr="00496FD7">
        <w:t xml:space="preserve">dvocates </w:t>
      </w:r>
      <w:r w:rsidR="00747F9D">
        <w:t xml:space="preserve">(SJA) </w:t>
      </w:r>
      <w:r w:rsidR="00496FD7" w:rsidRPr="00496FD7">
        <w:t xml:space="preserve">of subordinate TRADOC installations, commands, or direct reporting units </w:t>
      </w:r>
      <w:r w:rsidR="00F608FD">
        <w:t xml:space="preserve">shall </w:t>
      </w:r>
      <w:r w:rsidR="00496FD7" w:rsidRPr="00496FD7">
        <w:t>inform the</w:t>
      </w:r>
      <w:r w:rsidR="00946602">
        <w:t xml:space="preserve"> </w:t>
      </w:r>
      <w:r w:rsidR="00496FD7" w:rsidRPr="00496FD7">
        <w:t xml:space="preserve">TRADOC </w:t>
      </w:r>
      <w:r w:rsidR="00946602">
        <w:t>O</w:t>
      </w:r>
      <w:r>
        <w:t xml:space="preserve">ffice of the </w:t>
      </w:r>
      <w:r w:rsidR="00946602">
        <w:t>S</w:t>
      </w:r>
      <w:r w:rsidR="00946602" w:rsidRPr="00496FD7">
        <w:t xml:space="preserve">JA </w:t>
      </w:r>
      <w:r w:rsidR="00496FD7" w:rsidRPr="00496FD7">
        <w:t xml:space="preserve">of incidents that occur within their supported installation or command population that meet the criteria </w:t>
      </w:r>
      <w:r w:rsidR="009D4DCC">
        <w:t>outlined in c</w:t>
      </w:r>
      <w:r w:rsidR="00F608FD">
        <w:t>hapter 3</w:t>
      </w:r>
      <w:r w:rsidR="00496FD7" w:rsidRPr="00496FD7">
        <w:t xml:space="preserve">.  </w:t>
      </w:r>
    </w:p>
    <w:p w14:paraId="60601853" w14:textId="77777777" w:rsidR="00496FD7" w:rsidRDefault="00496FD7" w:rsidP="009667FB">
      <w:pPr>
        <w:tabs>
          <w:tab w:val="left" w:pos="288"/>
          <w:tab w:val="left" w:pos="634"/>
        </w:tabs>
        <w:rPr>
          <w:rStyle w:val="Heading2Char"/>
        </w:rPr>
      </w:pPr>
    </w:p>
    <w:p w14:paraId="619205BC" w14:textId="77777777" w:rsidR="00A16547" w:rsidRDefault="00257B07" w:rsidP="009667FB">
      <w:pPr>
        <w:tabs>
          <w:tab w:val="left" w:pos="288"/>
          <w:tab w:val="left" w:pos="634"/>
        </w:tabs>
        <w:rPr>
          <w:rStyle w:val="Heading2Char"/>
        </w:rPr>
      </w:pPr>
      <w:bookmarkStart w:id="36" w:name="_Toc14262640"/>
      <w:bookmarkStart w:id="37" w:name="_Toc14699902"/>
      <w:bookmarkStart w:id="38" w:name="_Toc14700017"/>
      <w:bookmarkStart w:id="39" w:name="_Toc14700065"/>
      <w:r w:rsidRPr="009667FB">
        <w:rPr>
          <w:rStyle w:val="Heading2Char"/>
        </w:rPr>
        <w:t>1-</w:t>
      </w:r>
      <w:r w:rsidR="00496FD7">
        <w:rPr>
          <w:rStyle w:val="Heading2Char"/>
        </w:rPr>
        <w:t>5</w:t>
      </w:r>
      <w:r w:rsidRPr="009667FB">
        <w:rPr>
          <w:rStyle w:val="Heading2Char"/>
        </w:rPr>
        <w:t xml:space="preserve">. </w:t>
      </w:r>
      <w:r w:rsidR="00CD2D47">
        <w:rPr>
          <w:rStyle w:val="Heading2Char"/>
        </w:rPr>
        <w:t xml:space="preserve"> </w:t>
      </w:r>
      <w:r w:rsidRPr="009667FB">
        <w:rPr>
          <w:rStyle w:val="Heading2Char"/>
        </w:rPr>
        <w:t>Records management requirements</w:t>
      </w:r>
      <w:bookmarkEnd w:id="36"/>
      <w:bookmarkEnd w:id="37"/>
      <w:bookmarkEnd w:id="38"/>
      <w:bookmarkEnd w:id="39"/>
    </w:p>
    <w:p w14:paraId="39F2F87B" w14:textId="3D6FF0F5" w:rsidR="00257B07" w:rsidRDefault="00257B07" w:rsidP="009667FB">
      <w:pPr>
        <w:tabs>
          <w:tab w:val="left" w:pos="288"/>
          <w:tab w:val="left" w:pos="634"/>
        </w:tabs>
      </w:pPr>
      <w:r>
        <w:t xml:space="preserve">As decreed by </w:t>
      </w:r>
      <w:r w:rsidR="009E316F">
        <w:t>Army Regulation (AR)</w:t>
      </w:r>
      <w:r>
        <w:t xml:space="preserve"> 25-400-2, the records management (recordkeeping) requirements for all record numbers, associated forms, and reports are included in the Records Retention Schedule-Army.  Detailed information for all related record numbers, forms, and reports associated with AR 25-30 are located in RRS-A at</w:t>
      </w:r>
      <w:r w:rsidR="007F352D">
        <w:t>:</w:t>
      </w:r>
      <w:r>
        <w:t xml:space="preserve"> </w:t>
      </w:r>
      <w:r w:rsidR="00B717D6">
        <w:t xml:space="preserve"> </w:t>
      </w:r>
      <w:r>
        <w:t xml:space="preserve">https://www.arims.army.mil. </w:t>
      </w:r>
      <w:r w:rsidR="009D4DCC">
        <w:t xml:space="preserve"> </w:t>
      </w:r>
    </w:p>
    <w:p w14:paraId="00D75FB4" w14:textId="77777777" w:rsidR="002D3B07" w:rsidRDefault="002D3B07" w:rsidP="00804D41">
      <w:pPr>
        <w:pBdr>
          <w:bottom w:val="single" w:sz="4" w:space="1" w:color="auto"/>
        </w:pBdr>
        <w:tabs>
          <w:tab w:val="left" w:pos="288"/>
          <w:tab w:val="left" w:pos="634"/>
        </w:tabs>
      </w:pPr>
    </w:p>
    <w:p w14:paraId="4FC57996" w14:textId="77777777" w:rsidR="00804D41" w:rsidRPr="0045407B" w:rsidRDefault="00804D41" w:rsidP="002109E2">
      <w:pPr>
        <w:tabs>
          <w:tab w:val="left" w:pos="288"/>
          <w:tab w:val="left" w:pos="634"/>
        </w:tabs>
      </w:pPr>
    </w:p>
    <w:p w14:paraId="617F3183" w14:textId="77777777" w:rsidR="0045407B" w:rsidRPr="00443899" w:rsidRDefault="0045407B" w:rsidP="00D60113">
      <w:pPr>
        <w:pStyle w:val="Heading1"/>
      </w:pPr>
      <w:bookmarkStart w:id="40" w:name="_Toc442356517"/>
      <w:bookmarkStart w:id="41" w:name="_Toc442356631"/>
      <w:bookmarkStart w:id="42" w:name="_Toc14262641"/>
      <w:bookmarkStart w:id="43" w:name="_Toc14699903"/>
      <w:bookmarkStart w:id="44" w:name="_Toc14700018"/>
      <w:bookmarkStart w:id="45" w:name="_Toc14700066"/>
      <w:r w:rsidRPr="00443899">
        <w:t>Chapter 2</w:t>
      </w:r>
      <w:bookmarkEnd w:id="40"/>
      <w:bookmarkEnd w:id="41"/>
      <w:bookmarkEnd w:id="42"/>
      <w:bookmarkEnd w:id="43"/>
      <w:bookmarkEnd w:id="44"/>
      <w:bookmarkEnd w:id="45"/>
    </w:p>
    <w:p w14:paraId="679B6679" w14:textId="134FF03B" w:rsidR="0045407B" w:rsidRPr="00443899" w:rsidRDefault="0045407B" w:rsidP="00D60113">
      <w:pPr>
        <w:pStyle w:val="Heading1"/>
      </w:pPr>
      <w:bookmarkStart w:id="46" w:name="_Toc442356518"/>
      <w:bookmarkStart w:id="47" w:name="_Toc442356632"/>
      <w:bookmarkStart w:id="48" w:name="_Toc14262642"/>
      <w:bookmarkStart w:id="49" w:name="_Toc14262795"/>
      <w:bookmarkStart w:id="50" w:name="_Toc14264383"/>
      <w:bookmarkStart w:id="51" w:name="_Toc14699904"/>
      <w:bookmarkStart w:id="52" w:name="_Toc14700019"/>
      <w:bookmarkStart w:id="53" w:name="_Toc14700067"/>
      <w:r w:rsidRPr="00443899">
        <w:t>Superior Competent Authorities</w:t>
      </w:r>
      <w:bookmarkEnd w:id="46"/>
      <w:bookmarkEnd w:id="47"/>
      <w:bookmarkEnd w:id="48"/>
      <w:bookmarkEnd w:id="49"/>
      <w:bookmarkEnd w:id="50"/>
      <w:r w:rsidR="001F7137">
        <w:t xml:space="preserve"> (SCAs)</w:t>
      </w:r>
      <w:bookmarkEnd w:id="51"/>
      <w:bookmarkEnd w:id="52"/>
      <w:bookmarkEnd w:id="53"/>
    </w:p>
    <w:p w14:paraId="4FB72D3D" w14:textId="77777777" w:rsidR="0045407B" w:rsidRDefault="0045407B" w:rsidP="002109E2">
      <w:pPr>
        <w:tabs>
          <w:tab w:val="left" w:pos="288"/>
          <w:tab w:val="left" w:pos="634"/>
        </w:tabs>
      </w:pPr>
    </w:p>
    <w:p w14:paraId="414F4B9C" w14:textId="77777777" w:rsidR="00A16547" w:rsidRDefault="00A125E2" w:rsidP="00A125E2">
      <w:pPr>
        <w:tabs>
          <w:tab w:val="left" w:pos="288"/>
          <w:tab w:val="left" w:pos="634"/>
        </w:tabs>
        <w:rPr>
          <w:rStyle w:val="Heading2Char"/>
        </w:rPr>
      </w:pPr>
      <w:bookmarkStart w:id="54" w:name="_Toc14262643"/>
      <w:bookmarkStart w:id="55" w:name="_Toc14699905"/>
      <w:bookmarkStart w:id="56" w:name="_Toc14700020"/>
      <w:bookmarkStart w:id="57" w:name="_Toc14700068"/>
      <w:r>
        <w:rPr>
          <w:rStyle w:val="Heading2Char"/>
        </w:rPr>
        <w:t>2</w:t>
      </w:r>
      <w:r w:rsidRPr="00443899">
        <w:rPr>
          <w:rStyle w:val="Heading2Char"/>
        </w:rPr>
        <w:t xml:space="preserve">-1.  </w:t>
      </w:r>
      <w:r>
        <w:rPr>
          <w:rStyle w:val="Heading2Char"/>
        </w:rPr>
        <w:t>General</w:t>
      </w:r>
      <w:bookmarkEnd w:id="54"/>
      <w:bookmarkEnd w:id="55"/>
      <w:bookmarkEnd w:id="56"/>
      <w:bookmarkEnd w:id="57"/>
    </w:p>
    <w:p w14:paraId="1A148055" w14:textId="51E024E1" w:rsidR="00A125E2" w:rsidRPr="0045407B" w:rsidRDefault="0048511E" w:rsidP="00A125E2">
      <w:pPr>
        <w:tabs>
          <w:tab w:val="left" w:pos="288"/>
          <w:tab w:val="left" w:pos="634"/>
        </w:tabs>
      </w:pPr>
      <w:r>
        <w:t xml:space="preserve">Unless </w:t>
      </w:r>
      <w:r w:rsidR="009F3D0C">
        <w:t>another regulation directs</w:t>
      </w:r>
      <w:r w:rsidR="00963328">
        <w:t xml:space="preserve"> otherwise</w:t>
      </w:r>
      <w:r>
        <w:t xml:space="preserve">, a </w:t>
      </w:r>
      <w:r w:rsidR="004A03B6">
        <w:t>s</w:t>
      </w:r>
      <w:r w:rsidR="006163CE">
        <w:t xml:space="preserve">uperior </w:t>
      </w:r>
      <w:r w:rsidR="004A03B6">
        <w:t>c</w:t>
      </w:r>
      <w:r w:rsidR="006163CE">
        <w:t xml:space="preserve">ompetent </w:t>
      </w:r>
      <w:r w:rsidR="004A03B6">
        <w:t>a</w:t>
      </w:r>
      <w:r w:rsidR="006163CE">
        <w:t xml:space="preserve">uthority (SCA) </w:t>
      </w:r>
      <w:r w:rsidR="006163CE" w:rsidRPr="00A125E2">
        <w:t>serve</w:t>
      </w:r>
      <w:r w:rsidR="006163CE">
        <w:t>s</w:t>
      </w:r>
      <w:r w:rsidR="006163CE" w:rsidRPr="00A125E2">
        <w:t xml:space="preserve"> as the next higher level of </w:t>
      </w:r>
      <w:r w:rsidR="002A54B1">
        <w:t xml:space="preserve">reviewing </w:t>
      </w:r>
      <w:r w:rsidR="006163CE" w:rsidRPr="00A125E2">
        <w:t xml:space="preserve">appellate authority for </w:t>
      </w:r>
      <w:r w:rsidR="00B64D5C">
        <w:t xml:space="preserve">adverse </w:t>
      </w:r>
      <w:r w:rsidR="006163CE" w:rsidRPr="00A125E2">
        <w:t>administrative and UCMJ actions.</w:t>
      </w:r>
      <w:r w:rsidR="006163CE">
        <w:t xml:space="preserve">  </w:t>
      </w:r>
      <w:r w:rsidR="00AE27B9">
        <w:t xml:space="preserve">The TRADOC Commander </w:t>
      </w:r>
      <w:r w:rsidR="006163CE">
        <w:t xml:space="preserve">designates the </w:t>
      </w:r>
      <w:r w:rsidR="00A125E2" w:rsidRPr="00A125E2">
        <w:t>U.S. Army Combined Arms Center (CA</w:t>
      </w:r>
      <w:r w:rsidR="006163CE">
        <w:t xml:space="preserve">C) </w:t>
      </w:r>
      <w:r w:rsidR="007B1A73">
        <w:t xml:space="preserve">and Fort Leavenworth </w:t>
      </w:r>
      <w:r w:rsidR="006163CE">
        <w:t xml:space="preserve">Commander and </w:t>
      </w:r>
      <w:r w:rsidR="00A125E2" w:rsidRPr="00A125E2">
        <w:t>T</w:t>
      </w:r>
      <w:r w:rsidR="006163CE">
        <w:t>RADOC Deputy Commandin</w:t>
      </w:r>
      <w:r w:rsidR="00A16547">
        <w:t>g General/Chief of Staff (DCG/</w:t>
      </w:r>
      <w:r w:rsidR="004A03B6">
        <w:t>CO</w:t>
      </w:r>
      <w:r w:rsidR="008C7461">
        <w:t>S</w:t>
      </w:r>
      <w:r w:rsidR="006163CE">
        <w:t>)</w:t>
      </w:r>
      <w:r w:rsidR="00A125E2" w:rsidRPr="00A125E2">
        <w:t xml:space="preserve"> as SCA</w:t>
      </w:r>
      <w:r w:rsidR="006163CE">
        <w:t>s</w:t>
      </w:r>
      <w:r w:rsidR="00A125E2" w:rsidRPr="00A125E2">
        <w:t xml:space="preserve">.  The </w:t>
      </w:r>
      <w:r w:rsidR="006163CE">
        <w:t>CAC Commander</w:t>
      </w:r>
      <w:r w:rsidR="00A125E2" w:rsidRPr="00A125E2">
        <w:t xml:space="preserve"> or TRADOC DCG/</w:t>
      </w:r>
      <w:r w:rsidR="004A03B6">
        <w:t>CO</w:t>
      </w:r>
      <w:r w:rsidR="008C7461">
        <w:t>S</w:t>
      </w:r>
      <w:r w:rsidR="00A125E2" w:rsidRPr="00A125E2">
        <w:t xml:space="preserve"> may act as the first level of </w:t>
      </w:r>
      <w:r w:rsidR="00325E89">
        <w:t xml:space="preserve">reviewing </w:t>
      </w:r>
      <w:r w:rsidR="00A125E2" w:rsidRPr="00A125E2">
        <w:t xml:space="preserve">authority above a subordinate TRADOC commander for UCMJ and </w:t>
      </w:r>
      <w:r w:rsidR="00041721">
        <w:t xml:space="preserve">adverse </w:t>
      </w:r>
      <w:r w:rsidR="00A125E2" w:rsidRPr="00A125E2">
        <w:t xml:space="preserve">administrative purposes as outlined in paragraph 2-2.  </w:t>
      </w:r>
      <w:r w:rsidR="007F352D">
        <w:t xml:space="preserve">When </w:t>
      </w:r>
      <w:r w:rsidR="007F352D" w:rsidRPr="00B95D9D">
        <w:t xml:space="preserve">the </w:t>
      </w:r>
      <w:r w:rsidR="007F352D" w:rsidRPr="00FB2E7C">
        <w:t xml:space="preserve">TRADOC </w:t>
      </w:r>
      <w:r w:rsidR="00A16547">
        <w:t>DCG/</w:t>
      </w:r>
      <w:r w:rsidR="004A03B6">
        <w:t>CO</w:t>
      </w:r>
      <w:r w:rsidR="008C7461">
        <w:t>S</w:t>
      </w:r>
      <w:r w:rsidR="007F352D" w:rsidRPr="00B95D9D">
        <w:t xml:space="preserve"> lacks authority to act</w:t>
      </w:r>
      <w:r w:rsidR="007F352D">
        <w:t>,</w:t>
      </w:r>
      <w:r w:rsidR="007F352D" w:rsidRPr="00DA1C7C">
        <w:t xml:space="preserve"> </w:t>
      </w:r>
      <w:r w:rsidR="007F352D">
        <w:t>because</w:t>
      </w:r>
      <w:r w:rsidR="007F352D" w:rsidRPr="00FD08F7">
        <w:t xml:space="preserve"> a matter requires action by either a designated commander or a </w:t>
      </w:r>
      <w:r w:rsidR="001F7137">
        <w:t>general court-martial convening authority</w:t>
      </w:r>
      <w:r w:rsidR="001F7137" w:rsidRPr="00FD08F7">
        <w:t xml:space="preserve"> </w:t>
      </w:r>
      <w:r w:rsidR="001F7137">
        <w:t>(</w:t>
      </w:r>
      <w:r w:rsidR="007F352D" w:rsidRPr="00FD08F7">
        <w:t>GCMCA</w:t>
      </w:r>
      <w:r w:rsidR="001F7137">
        <w:t>)</w:t>
      </w:r>
      <w:r w:rsidR="007F352D" w:rsidRPr="00FD08F7">
        <w:t xml:space="preserve">, the </w:t>
      </w:r>
      <w:r w:rsidR="006163CE">
        <w:t>CAC Commander</w:t>
      </w:r>
      <w:r w:rsidR="00542D47">
        <w:t>, or the TRADOC Commander, as necessary,</w:t>
      </w:r>
      <w:r w:rsidR="006163CE">
        <w:t xml:space="preserve"> </w:t>
      </w:r>
      <w:r w:rsidR="007F352D" w:rsidRPr="00FD08F7">
        <w:t xml:space="preserve">shall serve as the </w:t>
      </w:r>
      <w:r w:rsidR="007F352D">
        <w:t>SCA</w:t>
      </w:r>
      <w:r w:rsidR="007F352D" w:rsidRPr="00FD08F7">
        <w:t xml:space="preserve">.  </w:t>
      </w:r>
    </w:p>
    <w:p w14:paraId="58624FC7" w14:textId="2CD41A9E" w:rsidR="0045407B" w:rsidRPr="00443899" w:rsidRDefault="0045407B" w:rsidP="00443899">
      <w:pPr>
        <w:pStyle w:val="Heading2"/>
      </w:pPr>
      <w:bookmarkStart w:id="58" w:name="_Toc442356520"/>
      <w:bookmarkStart w:id="59" w:name="_Toc442356634"/>
      <w:bookmarkStart w:id="60" w:name="_Toc14262644"/>
      <w:bookmarkStart w:id="61" w:name="_Toc14699906"/>
      <w:bookmarkStart w:id="62" w:name="_Toc14700021"/>
      <w:bookmarkStart w:id="63" w:name="_Toc14700069"/>
      <w:r w:rsidRPr="00443899">
        <w:lastRenderedPageBreak/>
        <w:t xml:space="preserve">2-2.  </w:t>
      </w:r>
      <w:r w:rsidR="00F80EF1">
        <w:t xml:space="preserve">Jurisdictional </w:t>
      </w:r>
      <w:r w:rsidR="00427FE4">
        <w:t>a</w:t>
      </w:r>
      <w:r w:rsidR="00FE4705" w:rsidRPr="00443899">
        <w:t>lignment</w:t>
      </w:r>
      <w:bookmarkEnd w:id="58"/>
      <w:bookmarkEnd w:id="59"/>
      <w:bookmarkEnd w:id="60"/>
      <w:bookmarkEnd w:id="61"/>
      <w:bookmarkEnd w:id="62"/>
      <w:bookmarkEnd w:id="63"/>
    </w:p>
    <w:p w14:paraId="4E9B759C" w14:textId="77777777" w:rsidR="00AA527B" w:rsidRPr="009667FB" w:rsidRDefault="00AA527B" w:rsidP="009667FB">
      <w:pPr>
        <w:tabs>
          <w:tab w:val="left" w:pos="288"/>
          <w:tab w:val="left" w:pos="634"/>
        </w:tabs>
      </w:pPr>
    </w:p>
    <w:p w14:paraId="3CFBC63A" w14:textId="04632D99" w:rsidR="00AA527B" w:rsidRPr="009667FB" w:rsidRDefault="00AA527B" w:rsidP="009667FB">
      <w:pPr>
        <w:tabs>
          <w:tab w:val="left" w:pos="288"/>
          <w:tab w:val="left" w:pos="634"/>
        </w:tabs>
      </w:pPr>
      <w:r>
        <w:t xml:space="preserve">     </w:t>
      </w:r>
      <w:r w:rsidRPr="009667FB">
        <w:t xml:space="preserve">a.  Military </w:t>
      </w:r>
      <w:r w:rsidR="006D43B2" w:rsidRPr="009667FB">
        <w:t>justice and administrative actions</w:t>
      </w:r>
      <w:r w:rsidRPr="009667FB">
        <w:t xml:space="preserve">.  </w:t>
      </w:r>
      <w:r w:rsidR="00615125">
        <w:t xml:space="preserve">A </w:t>
      </w:r>
      <w:r w:rsidR="00ED057A">
        <w:t xml:space="preserve">designated </w:t>
      </w:r>
      <w:r w:rsidRPr="009667FB">
        <w:t xml:space="preserve">SCA may assign matters referred by subordinate commanders to an aligned TRADOC </w:t>
      </w:r>
      <w:r w:rsidR="00651406">
        <w:t>GCMCA.  A TRADOC GCMCA</w:t>
      </w:r>
      <w:r w:rsidRPr="009667FB">
        <w:t xml:space="preserve"> unable to adjudicate a case or action</w:t>
      </w:r>
      <w:r w:rsidR="007F352D">
        <w:t>,</w:t>
      </w:r>
      <w:r w:rsidRPr="009667FB">
        <w:t xml:space="preserve"> including complaints made under </w:t>
      </w:r>
      <w:r w:rsidR="006163CE">
        <w:t>UCMJ, Article 138,</w:t>
      </w:r>
      <w:r w:rsidRPr="009667FB">
        <w:t xml:space="preserve"> involving personnel assigned or attached to a TRA</w:t>
      </w:r>
      <w:r w:rsidR="00651406">
        <w:t>DOC center, school, or activity,</w:t>
      </w:r>
      <w:r w:rsidRPr="009667FB">
        <w:t xml:space="preserve"> will refer the action to a</w:t>
      </w:r>
      <w:r w:rsidR="006163CE">
        <w:t xml:space="preserve">n </w:t>
      </w:r>
      <w:r w:rsidR="007F352D">
        <w:t xml:space="preserve">SCA as outlined in </w:t>
      </w:r>
      <w:r w:rsidR="004A03B6">
        <w:t>f</w:t>
      </w:r>
      <w:r w:rsidR="00F71D0E">
        <w:t>igure</w:t>
      </w:r>
      <w:r w:rsidR="007F352D">
        <w:t xml:space="preserve"> 2-1.  </w:t>
      </w:r>
      <w:r w:rsidR="009B5DB4">
        <w:t>C</w:t>
      </w:r>
      <w:r w:rsidR="009B5DB4" w:rsidRPr="009B5DB4">
        <w:t xml:space="preserve">onsistent with </w:t>
      </w:r>
      <w:r w:rsidR="009B5DB4">
        <w:t xml:space="preserve">applicable </w:t>
      </w:r>
      <w:r w:rsidR="009B5DB4" w:rsidRPr="009B5DB4">
        <w:t>law and regulations</w:t>
      </w:r>
      <w:r w:rsidR="009B5DB4">
        <w:t xml:space="preserve">, </w:t>
      </w:r>
      <w:r w:rsidR="007F352D">
        <w:t xml:space="preserve">the designated </w:t>
      </w:r>
      <w:r w:rsidRPr="009667FB">
        <w:t xml:space="preserve">SCA may refer, assign, or act on that matter.  </w:t>
      </w:r>
    </w:p>
    <w:p w14:paraId="21F06FC5" w14:textId="77777777" w:rsidR="00AA527B" w:rsidRPr="009667FB" w:rsidRDefault="00AA527B" w:rsidP="009667FB">
      <w:pPr>
        <w:tabs>
          <w:tab w:val="left" w:pos="288"/>
          <w:tab w:val="left" w:pos="634"/>
        </w:tabs>
      </w:pPr>
    </w:p>
    <w:p w14:paraId="1FFCA419" w14:textId="45872E53" w:rsidR="00AA527B" w:rsidRDefault="00AA527B" w:rsidP="009667FB">
      <w:pPr>
        <w:tabs>
          <w:tab w:val="left" w:pos="288"/>
          <w:tab w:val="left" w:pos="634"/>
        </w:tabs>
      </w:pPr>
      <w:r>
        <w:t xml:space="preserve">     </w:t>
      </w:r>
      <w:r w:rsidR="007F352D">
        <w:t>b</w:t>
      </w:r>
      <w:r w:rsidRPr="009667FB">
        <w:t xml:space="preserve">.  TRADOC activities geographically located on non-TRADOC installations are subject to the GCMCA jurisdiction and </w:t>
      </w:r>
      <w:r w:rsidR="004A03B6">
        <w:t>SCA designation as outlined in f</w:t>
      </w:r>
      <w:r w:rsidRPr="009667FB">
        <w:t>igure 2</w:t>
      </w:r>
      <w:r w:rsidR="0099188A">
        <w:t>-2</w:t>
      </w:r>
      <w:r w:rsidRPr="009667FB">
        <w:t xml:space="preserve">.  </w:t>
      </w:r>
    </w:p>
    <w:p w14:paraId="3A300A28" w14:textId="77777777" w:rsidR="0026092E" w:rsidRDefault="0026092E" w:rsidP="009667FB">
      <w:pPr>
        <w:tabs>
          <w:tab w:val="left" w:pos="288"/>
          <w:tab w:val="left" w:pos="634"/>
        </w:tabs>
      </w:pPr>
    </w:p>
    <w:p w14:paraId="60026769" w14:textId="31503C7B" w:rsidR="0026092E" w:rsidRPr="009667FB" w:rsidRDefault="0026092E" w:rsidP="0026092E">
      <w:pPr>
        <w:tabs>
          <w:tab w:val="left" w:pos="288"/>
          <w:tab w:val="left" w:pos="634"/>
        </w:tabs>
      </w:pPr>
      <w:r>
        <w:t xml:space="preserve">     c.  TRADOC </w:t>
      </w:r>
      <w:r w:rsidR="000E1C0E">
        <w:t xml:space="preserve">activities </w:t>
      </w:r>
      <w:r>
        <w:t xml:space="preserve">that are tenants on a TRADOC installation other than their organic higher headquarters </w:t>
      </w:r>
      <w:r w:rsidR="007203BC">
        <w:t>are subject to</w:t>
      </w:r>
      <w:r>
        <w:t xml:space="preserve"> the UCMJ jurisdiction </w:t>
      </w:r>
      <w:r w:rsidR="00EF3EDA">
        <w:t>at</w:t>
      </w:r>
      <w:r>
        <w:t xml:space="preserve"> </w:t>
      </w:r>
      <w:r w:rsidR="00257804">
        <w:t>that</w:t>
      </w:r>
      <w:r>
        <w:t xml:space="preserve"> location.  This UCMJ alignment has no effect on technical </w:t>
      </w:r>
      <w:r w:rsidR="00EF3EDA">
        <w:t xml:space="preserve">supervisory responsibilities, or </w:t>
      </w:r>
      <w:r w:rsidR="004A03B6">
        <w:t xml:space="preserve">office of the </w:t>
      </w:r>
      <w:r w:rsidR="00EF3EDA">
        <w:t>SJA personnel rating schemes</w:t>
      </w:r>
      <w:r w:rsidR="007203BC">
        <w:t>.</w:t>
      </w:r>
    </w:p>
    <w:p w14:paraId="574620E7" w14:textId="77777777" w:rsidR="00AA527B" w:rsidRPr="009667FB" w:rsidRDefault="00AA527B" w:rsidP="00A16547">
      <w:pPr>
        <w:tabs>
          <w:tab w:val="left" w:pos="288"/>
          <w:tab w:val="left" w:pos="634"/>
        </w:tabs>
      </w:pPr>
    </w:p>
    <w:p w14:paraId="38691E20" w14:textId="77777777" w:rsidR="00AA527B" w:rsidRDefault="00AA527B" w:rsidP="009667FB">
      <w:pPr>
        <w:tabs>
          <w:tab w:val="left" w:pos="288"/>
          <w:tab w:val="left" w:pos="634"/>
        </w:tabs>
      </w:pPr>
      <w:r>
        <w:t xml:space="preserve">     </w:t>
      </w:r>
      <w:r w:rsidR="0026092E">
        <w:t>d</w:t>
      </w:r>
      <w:r w:rsidRPr="009667FB">
        <w:t xml:space="preserve">.  Nothing </w:t>
      </w:r>
      <w:r w:rsidR="006163CE">
        <w:t xml:space="preserve">in this regulation </w:t>
      </w:r>
      <w:r w:rsidRPr="009667FB">
        <w:t xml:space="preserve">precludes the </w:t>
      </w:r>
      <w:r w:rsidR="007F352D">
        <w:t xml:space="preserve">TRADOC </w:t>
      </w:r>
      <w:r w:rsidRPr="009667FB">
        <w:t>Command</w:t>
      </w:r>
      <w:r w:rsidR="007F352D">
        <w:t>er</w:t>
      </w:r>
      <w:r w:rsidRPr="009667FB">
        <w:t xml:space="preserve"> from exercising GCMCA in appropriate cases.  </w:t>
      </w:r>
    </w:p>
    <w:p w14:paraId="33B59428" w14:textId="77777777" w:rsidR="009D0AC8" w:rsidRDefault="009D0AC8" w:rsidP="009667FB">
      <w:pPr>
        <w:tabs>
          <w:tab w:val="left" w:pos="288"/>
          <w:tab w:val="left" w:pos="634"/>
        </w:tabs>
      </w:pPr>
    </w:p>
    <w:tbl>
      <w:tblPr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707"/>
        <w:gridCol w:w="4563"/>
      </w:tblGrid>
      <w:tr w:rsidR="009D0AC8" w:rsidRPr="00392379" w14:paraId="35E9A2A8" w14:textId="77777777" w:rsidTr="0047311D">
        <w:trPr>
          <w:trHeight w:val="300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6E6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Commander, </w:t>
            </w:r>
            <w:r w:rsidRPr="009667FB">
              <w:rPr>
                <w:b/>
                <w:bCs/>
                <w:sz w:val="20"/>
                <w:szCs w:val="20"/>
              </w:rPr>
              <w:t>U.S. Army Combined Arms Center and Fort Leavenworth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E3A0" w14:textId="77777777" w:rsidR="009D0AC8" w:rsidRDefault="009D0AC8" w:rsidP="00821028">
            <w:pPr>
              <w:tabs>
                <w:tab w:val="left" w:pos="288"/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67FB">
              <w:rPr>
                <w:b/>
                <w:bCs/>
                <w:sz w:val="20"/>
                <w:szCs w:val="20"/>
              </w:rPr>
              <w:t xml:space="preserve">Deputy Commanding General/Chief of Staff, </w:t>
            </w:r>
          </w:p>
          <w:p w14:paraId="33574472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67FB">
              <w:rPr>
                <w:b/>
                <w:bCs/>
                <w:sz w:val="20"/>
                <w:szCs w:val="20"/>
              </w:rPr>
              <w:t>U.S. Army TRADOC</w:t>
            </w:r>
          </w:p>
        </w:tc>
      </w:tr>
      <w:tr w:rsidR="009D0AC8" w:rsidRPr="00392379" w14:paraId="6B78B23F" w14:textId="77777777" w:rsidTr="0047311D">
        <w:trPr>
          <w:trHeight w:val="450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C751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68C9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D0AC8" w:rsidRPr="00392379" w14:paraId="086AA83B" w14:textId="77777777" w:rsidTr="0047311D">
        <w:trPr>
          <w:trHeight w:val="276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02D1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D02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D0AC8" w:rsidRPr="00392379" w14:paraId="0F6F16FC" w14:textId="77777777" w:rsidTr="0047311D">
        <w:trPr>
          <w:trHeight w:val="41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A33D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 xml:space="preserve">U.S. Army Intelligence Center of Excellence and Fort Huachuca, AZ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6A1F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Combined Arms Center and Fort Leavenworth, KS</w:t>
            </w:r>
          </w:p>
        </w:tc>
      </w:tr>
      <w:tr w:rsidR="009D0AC8" w:rsidRPr="00392379" w14:paraId="3FAE0C51" w14:textId="77777777" w:rsidTr="0047311D">
        <w:trPr>
          <w:trHeight w:val="44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6E5B" w14:textId="77777777" w:rsidR="009D0AC8" w:rsidRPr="0047311D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Maneuver Center of Excellence and Fort Benning, GA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645E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Center for Initial Military Training and Fort Eustis, VA</w:t>
            </w:r>
          </w:p>
        </w:tc>
      </w:tr>
      <w:tr w:rsidR="009D0AC8" w:rsidRPr="00392379" w14:paraId="0CBC70E4" w14:textId="77777777" w:rsidTr="0047311D">
        <w:trPr>
          <w:trHeight w:val="44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52AD" w14:textId="77777777" w:rsidR="009D0AC8" w:rsidRPr="0047311D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Aviation Center of Excellence and Fort Rucker, AL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62C2" w14:textId="77777777" w:rsidR="009D0AC8" w:rsidRPr="009667FB" w:rsidRDefault="009D0AC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Cadet Command and Fort Knox, KY</w:t>
            </w:r>
          </w:p>
        </w:tc>
      </w:tr>
      <w:tr w:rsidR="009D0AC8" w:rsidRPr="00392379" w14:paraId="304C8931" w14:textId="77777777" w:rsidTr="0047311D">
        <w:trPr>
          <w:trHeight w:val="26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8816" w14:textId="77777777" w:rsidR="009D0AC8" w:rsidRPr="009667FB" w:rsidRDefault="009D0AC8">
            <w:pPr>
              <w:tabs>
                <w:tab w:val="left" w:pos="288"/>
                <w:tab w:val="left" w:pos="634"/>
              </w:tabs>
              <w:rPr>
                <w:i/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Fires Center of Excellence and Fort Sill, OK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82BF" w14:textId="77777777" w:rsidR="009D0AC8" w:rsidRPr="0047311D" w:rsidRDefault="009D0AC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 xml:space="preserve">U.S. Army Recruiting Command, </w:t>
            </w:r>
            <w:r w:rsidRPr="00FB2E7C">
              <w:rPr>
                <w:sz w:val="20"/>
                <w:szCs w:val="20"/>
              </w:rPr>
              <w:t>Fort Knox</w:t>
            </w:r>
            <w:r>
              <w:rPr>
                <w:sz w:val="20"/>
                <w:szCs w:val="20"/>
              </w:rPr>
              <w:t>,</w:t>
            </w:r>
            <w:r w:rsidRPr="00532C92" w:rsidDel="00970108">
              <w:rPr>
                <w:sz w:val="20"/>
                <w:szCs w:val="20"/>
              </w:rPr>
              <w:t xml:space="preserve"> </w:t>
            </w:r>
            <w:r w:rsidRPr="009667FB">
              <w:rPr>
                <w:sz w:val="20"/>
                <w:szCs w:val="20"/>
              </w:rPr>
              <w:t>KY</w:t>
            </w:r>
          </w:p>
        </w:tc>
      </w:tr>
      <w:tr w:rsidR="009D0AC8" w:rsidRPr="00392379" w14:paraId="6A4449FB" w14:textId="77777777" w:rsidTr="0047311D">
        <w:trPr>
          <w:trHeight w:val="40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F24C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Maneuver Support Center of Excellence and Fort Leonard Wood, MO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0AC1" w14:textId="77777777" w:rsidR="009D0AC8" w:rsidRPr="0047311D" w:rsidRDefault="009D0AC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Training Center and Fort Jackson, SC</w:t>
            </w:r>
          </w:p>
        </w:tc>
      </w:tr>
      <w:tr w:rsidR="009D0AC8" w:rsidRPr="00392379" w14:paraId="10098EB2" w14:textId="77777777" w:rsidTr="0047311D">
        <w:trPr>
          <w:trHeight w:val="41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180B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i/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U.S. Army Cyber Center of Excellence and Fort Gordon, GA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537C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i/>
                <w:sz w:val="20"/>
                <w:szCs w:val="20"/>
              </w:rPr>
            </w:pPr>
          </w:p>
        </w:tc>
      </w:tr>
      <w:tr w:rsidR="009D0AC8" w:rsidRPr="00392379" w14:paraId="14F16D92" w14:textId="77777777" w:rsidTr="0047311D">
        <w:trPr>
          <w:trHeight w:val="44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038D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U.S. Army Combined Arms Support </w:t>
            </w:r>
            <w:r w:rsidRPr="00C07C28">
              <w:rPr>
                <w:sz w:val="20"/>
                <w:szCs w:val="20"/>
              </w:rPr>
              <w:t>Command</w:t>
            </w:r>
            <w:r>
              <w:rPr>
                <w:sz w:val="20"/>
                <w:szCs w:val="20"/>
              </w:rPr>
              <w:t xml:space="preserve"> </w:t>
            </w:r>
            <w:r w:rsidRPr="00C07C2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07C28">
              <w:rPr>
                <w:sz w:val="20"/>
                <w:szCs w:val="20"/>
              </w:rPr>
              <w:t>Sustainment Center of Excellence and Fort Lee, VA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1D99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</w:p>
        </w:tc>
      </w:tr>
      <w:tr w:rsidR="009D0AC8" w:rsidRPr="00392379" w14:paraId="21B20C96" w14:textId="77777777" w:rsidTr="00104E1D">
        <w:trPr>
          <w:trHeight w:val="422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3E9A" w14:textId="0FC994E1" w:rsidR="009D0AC8" w:rsidRPr="009667FB" w:rsidRDefault="009D0AC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 xml:space="preserve">U.S. Army Medical </w:t>
            </w:r>
            <w:r w:rsidR="00D63B0A" w:rsidRPr="00C07C28">
              <w:rPr>
                <w:sz w:val="20"/>
                <w:szCs w:val="20"/>
              </w:rPr>
              <w:t>Center of Excellence</w:t>
            </w:r>
            <w:r w:rsidRPr="009667FB">
              <w:rPr>
                <w:sz w:val="20"/>
                <w:szCs w:val="20"/>
              </w:rPr>
              <w:t xml:space="preserve">, </w:t>
            </w:r>
            <w:r w:rsidRPr="00BC3DBC">
              <w:rPr>
                <w:sz w:val="20"/>
                <w:szCs w:val="20"/>
              </w:rPr>
              <w:t>Joint Base San Antonio</w:t>
            </w:r>
            <w:r>
              <w:rPr>
                <w:sz w:val="20"/>
                <w:szCs w:val="20"/>
              </w:rPr>
              <w:t>,</w:t>
            </w:r>
            <w:r w:rsidRPr="00BC3DBC">
              <w:rPr>
                <w:sz w:val="20"/>
                <w:szCs w:val="20"/>
              </w:rPr>
              <w:t xml:space="preserve"> </w:t>
            </w:r>
            <w:r w:rsidRPr="009667FB">
              <w:rPr>
                <w:sz w:val="20"/>
                <w:szCs w:val="20"/>
              </w:rPr>
              <w:t>TX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5524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i/>
                <w:sz w:val="20"/>
                <w:szCs w:val="20"/>
              </w:rPr>
            </w:pPr>
          </w:p>
        </w:tc>
      </w:tr>
      <w:tr w:rsidR="009D0AC8" w:rsidRPr="00392379" w14:paraId="275F9EE1" w14:textId="77777777" w:rsidTr="0047311D">
        <w:trPr>
          <w:trHeight w:val="41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AD69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  <w:r w:rsidRPr="009667FB">
              <w:rPr>
                <w:sz w:val="20"/>
                <w:szCs w:val="20"/>
              </w:rPr>
              <w:t>Defense Language Institute Foreign Language Center, Presidio of Monterey, CA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6399" w14:textId="77777777" w:rsidR="009D0AC8" w:rsidRPr="009667FB" w:rsidRDefault="009D0AC8" w:rsidP="00821028">
            <w:pPr>
              <w:tabs>
                <w:tab w:val="left" w:pos="288"/>
                <w:tab w:val="left" w:pos="634"/>
              </w:tabs>
              <w:rPr>
                <w:sz w:val="20"/>
                <w:szCs w:val="20"/>
              </w:rPr>
            </w:pPr>
          </w:p>
        </w:tc>
      </w:tr>
    </w:tbl>
    <w:p w14:paraId="445EA7B4" w14:textId="57FB19D9" w:rsidR="00026304" w:rsidRDefault="009D0AC8" w:rsidP="0047311D">
      <w:pPr>
        <w:pStyle w:val="Figure"/>
      </w:pPr>
      <w:bookmarkStart w:id="64" w:name="_Toc14699875"/>
      <w:r w:rsidRPr="00443899">
        <w:t>Figure 2-</w:t>
      </w:r>
      <w:r>
        <w:t>1</w:t>
      </w:r>
      <w:r w:rsidRPr="00443899">
        <w:t xml:space="preserve">.  </w:t>
      </w:r>
      <w:r>
        <w:t xml:space="preserve">SCA </w:t>
      </w:r>
      <w:r w:rsidRPr="00443899">
        <w:t xml:space="preserve">alignment for </w:t>
      </w:r>
      <w:r w:rsidR="001F7137">
        <w:t>U.S. Army Training and Doctrine Command (</w:t>
      </w:r>
      <w:r w:rsidRPr="00443899">
        <w:t>TRADOC</w:t>
      </w:r>
      <w:r w:rsidR="001F7137">
        <w:t>)</w:t>
      </w:r>
      <w:r w:rsidRPr="00443899">
        <w:t xml:space="preserve"> centers, schools, and</w:t>
      </w:r>
      <w:r>
        <w:t xml:space="preserve"> </w:t>
      </w:r>
      <w:r w:rsidRPr="00443899">
        <w:t>activities</w:t>
      </w:r>
      <w:r>
        <w:t xml:space="preserve"> on TRADOC-led installations</w:t>
      </w:r>
      <w:bookmarkEnd w:id="64"/>
    </w:p>
    <w:p w14:paraId="7E546E57" w14:textId="77777777" w:rsidR="00A609FD" w:rsidRDefault="00A609FD">
      <w:r>
        <w:br w:type="page"/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384"/>
        <w:gridCol w:w="3366"/>
      </w:tblGrid>
      <w:tr w:rsidR="00026304" w:rsidRPr="00DE6F73" w14:paraId="374B5DDE" w14:textId="77777777" w:rsidTr="00C520B7">
        <w:trPr>
          <w:trHeight w:val="221"/>
        </w:trPr>
        <w:tc>
          <w:tcPr>
            <w:tcW w:w="2965" w:type="dxa"/>
          </w:tcPr>
          <w:p w14:paraId="6A128786" w14:textId="77777777" w:rsidR="00026304" w:rsidRPr="009667FB" w:rsidRDefault="00026304" w:rsidP="00C52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67FB">
              <w:rPr>
                <w:b/>
                <w:bCs/>
                <w:color w:val="000000"/>
                <w:sz w:val="20"/>
                <w:szCs w:val="20"/>
              </w:rPr>
              <w:lastRenderedPageBreak/>
              <w:t>TRADOC Organization/Activity</w:t>
            </w:r>
          </w:p>
        </w:tc>
        <w:tc>
          <w:tcPr>
            <w:tcW w:w="3384" w:type="dxa"/>
            <w:shd w:val="clear" w:color="auto" w:fill="auto"/>
          </w:tcPr>
          <w:p w14:paraId="63E61F81" w14:textId="77777777" w:rsidR="00026304" w:rsidRPr="009667FB" w:rsidRDefault="00026304" w:rsidP="00C52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67FB">
              <w:rPr>
                <w:b/>
                <w:bCs/>
                <w:color w:val="000000"/>
                <w:sz w:val="20"/>
                <w:szCs w:val="20"/>
              </w:rPr>
              <w:t>Non-TRADOC GCMCA</w:t>
            </w:r>
          </w:p>
        </w:tc>
        <w:tc>
          <w:tcPr>
            <w:tcW w:w="3366" w:type="dxa"/>
            <w:shd w:val="clear" w:color="auto" w:fill="auto"/>
          </w:tcPr>
          <w:p w14:paraId="0E53936C" w14:textId="77777777" w:rsidR="00026304" w:rsidRPr="009667FB" w:rsidRDefault="00026304" w:rsidP="00C520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67FB">
              <w:rPr>
                <w:b/>
                <w:bCs/>
                <w:color w:val="000000"/>
                <w:sz w:val="20"/>
                <w:szCs w:val="20"/>
              </w:rPr>
              <w:t>TRADOC SCA</w:t>
            </w:r>
          </w:p>
        </w:tc>
      </w:tr>
      <w:tr w:rsidR="00026304" w:rsidRPr="0082745A" w14:paraId="2836048C" w14:textId="77777777" w:rsidTr="00C520B7">
        <w:trPr>
          <w:trHeight w:val="773"/>
        </w:trPr>
        <w:tc>
          <w:tcPr>
            <w:tcW w:w="2965" w:type="dxa"/>
          </w:tcPr>
          <w:p w14:paraId="615CDA00" w14:textId="44D9B5F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67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U.S. Army Asymmetric Warfare Group, </w:t>
            </w:r>
            <w:r w:rsidR="002956EC" w:rsidRPr="002956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Fort George G. Meade</w:t>
            </w:r>
            <w:r w:rsidRPr="009667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MD</w:t>
            </w:r>
          </w:p>
        </w:tc>
        <w:tc>
          <w:tcPr>
            <w:tcW w:w="3384" w:type="dxa"/>
            <w:shd w:val="clear" w:color="auto" w:fill="auto"/>
          </w:tcPr>
          <w:p w14:paraId="42240F5C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F">
              <w:rPr>
                <w:rFonts w:ascii="Times New Roman" w:eastAsia="Calibri" w:hAnsi="Times New Roman" w:cs="Times New Roman"/>
                <w:sz w:val="20"/>
                <w:szCs w:val="20"/>
              </w:rPr>
              <w:t>Commander, U.S. Army Garrison, Fort George G. Meade, MD</w:t>
            </w:r>
          </w:p>
        </w:tc>
        <w:tc>
          <w:tcPr>
            <w:tcW w:w="3366" w:type="dxa"/>
            <w:shd w:val="clear" w:color="auto" w:fill="auto"/>
          </w:tcPr>
          <w:p w14:paraId="7C6E22B2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Commander, U.S. Army Combined Army Center &amp; Fort Leavenworth, KS</w:t>
            </w:r>
          </w:p>
        </w:tc>
      </w:tr>
      <w:tr w:rsidR="00026304" w:rsidRPr="0082745A" w14:paraId="08ED3E6F" w14:textId="77777777" w:rsidTr="00C520B7">
        <w:trPr>
          <w:trHeight w:val="530"/>
        </w:trPr>
        <w:tc>
          <w:tcPr>
            <w:tcW w:w="2965" w:type="dxa"/>
          </w:tcPr>
          <w:p w14:paraId="3B592854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U.S. Army Rapid Equipping Force, Fort Belvoir, VA </w:t>
            </w:r>
          </w:p>
        </w:tc>
        <w:tc>
          <w:tcPr>
            <w:tcW w:w="3384" w:type="dxa"/>
            <w:shd w:val="clear" w:color="auto" w:fill="auto"/>
          </w:tcPr>
          <w:p w14:paraId="666D0491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Commander, </w:t>
            </w: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>U.S. Army Garrison, Fort Belvoir, VA</w:t>
            </w:r>
          </w:p>
        </w:tc>
        <w:tc>
          <w:tcPr>
            <w:tcW w:w="3366" w:type="dxa"/>
            <w:shd w:val="clear" w:color="auto" w:fill="auto"/>
          </w:tcPr>
          <w:p w14:paraId="7F5517A6" w14:textId="77777777" w:rsidR="00026304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Deputy Commanding General/Chief of Staff, U.S. Army TRADOC</w:t>
            </w:r>
          </w:p>
          <w:p w14:paraId="7E79277F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304" w:rsidRPr="0082745A" w14:paraId="704C0C89" w14:textId="77777777" w:rsidTr="00C520B7">
        <w:trPr>
          <w:trHeight w:val="638"/>
        </w:trPr>
        <w:tc>
          <w:tcPr>
            <w:tcW w:w="2965" w:type="dxa"/>
          </w:tcPr>
          <w:p w14:paraId="1080CF37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>U.S. Army Aeronautical Services Agency, Fort Belvoir, VA</w:t>
            </w:r>
          </w:p>
        </w:tc>
        <w:tc>
          <w:tcPr>
            <w:tcW w:w="3384" w:type="dxa"/>
            <w:shd w:val="clear" w:color="auto" w:fill="auto"/>
          </w:tcPr>
          <w:p w14:paraId="389A2EDF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Commander, </w:t>
            </w: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U.S. Army Garrison, Fort Belvoir, VA </w:t>
            </w:r>
          </w:p>
        </w:tc>
        <w:tc>
          <w:tcPr>
            <w:tcW w:w="3366" w:type="dxa"/>
            <w:shd w:val="clear" w:color="auto" w:fill="auto"/>
          </w:tcPr>
          <w:p w14:paraId="0E04FC34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Commander, </w:t>
            </w: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>U.S. Army Aviation Center of Excellence and Fort Rucker, AL</w:t>
            </w:r>
          </w:p>
        </w:tc>
      </w:tr>
      <w:tr w:rsidR="00026304" w:rsidRPr="0082745A" w14:paraId="5FD36708" w14:textId="77777777" w:rsidTr="00C520B7">
        <w:trPr>
          <w:trHeight w:val="620"/>
        </w:trPr>
        <w:tc>
          <w:tcPr>
            <w:tcW w:w="2965" w:type="dxa"/>
          </w:tcPr>
          <w:p w14:paraId="3089E612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U.S. Army Sergeants Major Academy, Fort Bliss, TX </w:t>
            </w:r>
          </w:p>
        </w:tc>
        <w:tc>
          <w:tcPr>
            <w:tcW w:w="3384" w:type="dxa"/>
            <w:shd w:val="clear" w:color="auto" w:fill="auto"/>
          </w:tcPr>
          <w:p w14:paraId="354C1595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Commander, </w:t>
            </w: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>1st Armored Division and Fort Bliss, Fort Bliss, TX</w:t>
            </w:r>
          </w:p>
        </w:tc>
        <w:tc>
          <w:tcPr>
            <w:tcW w:w="3366" w:type="dxa"/>
            <w:shd w:val="clear" w:color="auto" w:fill="auto"/>
          </w:tcPr>
          <w:p w14:paraId="42E4D530" w14:textId="77777777" w:rsidR="00026304" w:rsidRPr="009667FB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Commander, </w:t>
            </w:r>
            <w:r w:rsidRPr="009667FB">
              <w:rPr>
                <w:rFonts w:ascii="Times New Roman" w:eastAsia="Calibri" w:hAnsi="Times New Roman" w:cs="Times New Roman"/>
                <w:sz w:val="20"/>
                <w:szCs w:val="20"/>
              </w:rPr>
              <w:t>U.S. Army Combined Arms Center, Fort Leavenworth, KS</w:t>
            </w:r>
          </w:p>
        </w:tc>
      </w:tr>
      <w:tr w:rsidR="00026304" w:rsidRPr="0082745A" w14:paraId="2AE70B49" w14:textId="77777777" w:rsidTr="00C520B7">
        <w:trPr>
          <w:trHeight w:val="575"/>
        </w:trPr>
        <w:tc>
          <w:tcPr>
            <w:tcW w:w="2965" w:type="dxa"/>
          </w:tcPr>
          <w:p w14:paraId="4C247A84" w14:textId="5F319B59" w:rsidR="00026304" w:rsidRPr="004B06FA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U.S. Army Center of Military History, </w:t>
            </w:r>
            <w:r w:rsidR="00D85708" w:rsidRPr="00D85708">
              <w:rPr>
                <w:rFonts w:ascii="Times New Roman" w:eastAsia="Calibri" w:hAnsi="Times New Roman" w:cs="Times New Roman"/>
                <w:sz w:val="20"/>
                <w:szCs w:val="20"/>
              </w:rPr>
              <w:t>Fort Lesley J. McNair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VA</w:t>
            </w:r>
          </w:p>
        </w:tc>
        <w:tc>
          <w:tcPr>
            <w:tcW w:w="3384" w:type="dxa"/>
            <w:shd w:val="clear" w:color="auto" w:fill="auto"/>
          </w:tcPr>
          <w:p w14:paraId="2E7D0746" w14:textId="77777777" w:rsidR="00026304" w:rsidRPr="004B06FA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Commander,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U.S. Army Military District of Washington, </w:t>
            </w:r>
            <w:hyperlink r:id="rId13" w:history="1">
              <w:r w:rsidR="00C21DC6" w:rsidRPr="0047311D">
                <w:rPr>
                  <w:rFonts w:ascii="Times New Roman" w:eastAsia="Calibri" w:hAnsi="Times New Roman" w:cs="Times New Roman"/>
                  <w:sz w:val="20"/>
                  <w:szCs w:val="20"/>
                </w:rPr>
                <w:t>Fort Lesley J. McNair</w:t>
              </w:r>
            </w:hyperlink>
            <w:r w:rsidR="00C21DC6" w:rsidRPr="0047311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21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Washington, DC</w:t>
            </w:r>
          </w:p>
        </w:tc>
        <w:tc>
          <w:tcPr>
            <w:tcW w:w="3366" w:type="dxa"/>
            <w:shd w:val="clear" w:color="auto" w:fill="auto"/>
          </w:tcPr>
          <w:p w14:paraId="0D8CE2CC" w14:textId="77777777" w:rsidR="00026304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Deputy Commanding General/Chief of Staff, U.S. Army TRADOC</w:t>
            </w:r>
          </w:p>
          <w:p w14:paraId="70E561D5" w14:textId="77777777" w:rsidR="00026304" w:rsidRPr="004B06FA" w:rsidRDefault="00026304" w:rsidP="00C520B7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CA8C05D" w14:textId="7A3D5526" w:rsidR="00026304" w:rsidRDefault="00026304" w:rsidP="00026304">
      <w:pPr>
        <w:pStyle w:val="Figure"/>
      </w:pPr>
      <w:bookmarkStart w:id="65" w:name="_Toc14699876"/>
      <w:r w:rsidRPr="00443899">
        <w:t>Figure 2-</w:t>
      </w:r>
      <w:r>
        <w:t>2</w:t>
      </w:r>
      <w:r w:rsidRPr="00443899">
        <w:t xml:space="preserve">.  </w:t>
      </w:r>
      <w:r w:rsidRPr="0096761B">
        <w:t xml:space="preserve">Alignment of non-TRADOC </w:t>
      </w:r>
      <w:r w:rsidR="001F7137">
        <w:t>general court-martial convening authorities</w:t>
      </w:r>
      <w:r w:rsidR="001F7137" w:rsidRPr="0096761B">
        <w:t xml:space="preserve"> </w:t>
      </w:r>
      <w:r w:rsidR="001F7137">
        <w:t>(</w:t>
      </w:r>
      <w:r w:rsidRPr="0096761B">
        <w:t>GCMCAs</w:t>
      </w:r>
      <w:r w:rsidR="001F7137">
        <w:t>)</w:t>
      </w:r>
      <w:r w:rsidRPr="0096761B">
        <w:t>/SCAs for TRADOC installations/activities on non-TRADOC installations</w:t>
      </w:r>
      <w:bookmarkEnd w:id="65"/>
    </w:p>
    <w:p w14:paraId="70E8AF9C" w14:textId="77777777" w:rsidR="00835406" w:rsidRPr="00835406" w:rsidRDefault="00835406" w:rsidP="00835406"/>
    <w:p w14:paraId="29A5EF61" w14:textId="4F130316" w:rsidR="00D80A8B" w:rsidRPr="00443899" w:rsidRDefault="00D80A8B" w:rsidP="00D80A8B">
      <w:pPr>
        <w:pStyle w:val="Heading2"/>
      </w:pPr>
      <w:bookmarkStart w:id="66" w:name="_Toc14262645"/>
      <w:bookmarkStart w:id="67" w:name="_Toc14699907"/>
      <w:bookmarkStart w:id="68" w:name="_Toc14700022"/>
      <w:bookmarkStart w:id="69" w:name="_Toc14700070"/>
      <w:r w:rsidRPr="00443899">
        <w:t>2-</w:t>
      </w:r>
      <w:r>
        <w:t>3</w:t>
      </w:r>
      <w:r w:rsidRPr="00443899">
        <w:t xml:space="preserve">.  </w:t>
      </w:r>
      <w:r w:rsidRPr="00D80A8B">
        <w:t xml:space="preserve">Nonjudicial </w:t>
      </w:r>
      <w:r w:rsidR="00427FE4">
        <w:t>p</w:t>
      </w:r>
      <w:r w:rsidRPr="00D80A8B">
        <w:t>unishment</w:t>
      </w:r>
      <w:bookmarkEnd w:id="66"/>
      <w:bookmarkEnd w:id="67"/>
      <w:bookmarkEnd w:id="68"/>
      <w:bookmarkEnd w:id="69"/>
    </w:p>
    <w:p w14:paraId="5DDD31E1" w14:textId="77777777" w:rsidR="00D80A8B" w:rsidRDefault="00D80A8B" w:rsidP="000E4869"/>
    <w:p w14:paraId="09CF762F" w14:textId="45019AB1" w:rsidR="009C71B2" w:rsidRDefault="000E4869" w:rsidP="000E4869">
      <w:r>
        <w:t xml:space="preserve">     </w:t>
      </w:r>
      <w:r w:rsidR="001A36AD">
        <w:t>a</w:t>
      </w:r>
      <w:r w:rsidRPr="0045407B">
        <w:t xml:space="preserve">.  </w:t>
      </w:r>
      <w:r w:rsidR="00426E2E" w:rsidRPr="00426E2E">
        <w:t>Delegation.</w:t>
      </w:r>
      <w:r w:rsidR="00426E2E">
        <w:t xml:space="preserve">  </w:t>
      </w:r>
      <w:r>
        <w:t xml:space="preserve">The </w:t>
      </w:r>
      <w:r w:rsidR="007F352D">
        <w:t xml:space="preserve">TRADOC </w:t>
      </w:r>
      <w:r>
        <w:t>Commander delegate</w:t>
      </w:r>
      <w:r w:rsidR="001F7137">
        <w:t>s</w:t>
      </w:r>
      <w:r>
        <w:t xml:space="preserve"> authority under </w:t>
      </w:r>
      <w:r w:rsidR="00825AF8">
        <w:t xml:space="preserve">UCMJ, </w:t>
      </w:r>
      <w:r>
        <w:t>Article 15</w:t>
      </w:r>
      <w:r w:rsidR="007F352D">
        <w:t>,</w:t>
      </w:r>
      <w:r>
        <w:t xml:space="preserve"> to the TRADOC DCG/</w:t>
      </w:r>
      <w:r w:rsidR="00667DCB">
        <w:t>CO</w:t>
      </w:r>
      <w:r w:rsidR="008C7461">
        <w:t>S</w:t>
      </w:r>
      <w:r>
        <w:t xml:space="preserve"> and designate</w:t>
      </w:r>
      <w:r w:rsidR="001F7137">
        <w:t>s</w:t>
      </w:r>
      <w:r>
        <w:t xml:space="preserve"> the TRADOC DCG/</w:t>
      </w:r>
      <w:r w:rsidR="008C7461">
        <w:t>C</w:t>
      </w:r>
      <w:r w:rsidR="00667DCB">
        <w:t>O</w:t>
      </w:r>
      <w:r w:rsidR="008C7461">
        <w:t>S</w:t>
      </w:r>
      <w:r>
        <w:t xml:space="preserve"> to act as a superior authority for </w:t>
      </w:r>
      <w:r w:rsidR="00491C34">
        <w:t xml:space="preserve">Article 15 </w:t>
      </w:r>
      <w:r w:rsidR="008C0EB3">
        <w:t xml:space="preserve">appeals </w:t>
      </w:r>
      <w:r w:rsidR="00491C34">
        <w:t>arising from a subordinate command</w:t>
      </w:r>
      <w:r w:rsidR="006163CE">
        <w:t>.</w:t>
      </w:r>
      <w:r w:rsidR="000B07D6">
        <w:t xml:space="preserve">  </w:t>
      </w:r>
    </w:p>
    <w:p w14:paraId="76F59CB2" w14:textId="77777777" w:rsidR="009C71B2" w:rsidRDefault="009C71B2" w:rsidP="000E4869"/>
    <w:p w14:paraId="47895EA3" w14:textId="0E0E3A7D" w:rsidR="009C71B2" w:rsidRDefault="009C71B2">
      <w:r>
        <w:t xml:space="preserve">     </w:t>
      </w:r>
      <w:r w:rsidR="001A36AD">
        <w:t>b</w:t>
      </w:r>
      <w:r>
        <w:t xml:space="preserve">.  Appeals.  </w:t>
      </w:r>
      <w:r w:rsidR="00B72242" w:rsidRPr="00B72242">
        <w:t xml:space="preserve">When forwarding an appeal of nonjudicial punishment to the </w:t>
      </w:r>
      <w:r w:rsidR="004B5D19">
        <w:t xml:space="preserve">designated TRADOC SCA </w:t>
      </w:r>
      <w:r w:rsidR="00B72242" w:rsidRPr="00B72242">
        <w:t xml:space="preserve">for action </w:t>
      </w:r>
      <w:r w:rsidR="0058366C">
        <w:t>in accordance with</w:t>
      </w:r>
      <w:r w:rsidR="00B72242" w:rsidRPr="00B72242">
        <w:t xml:space="preserve"> </w:t>
      </w:r>
      <w:r w:rsidR="00B72242">
        <w:t>AR 27-10</w:t>
      </w:r>
      <w:r w:rsidR="00B72242" w:rsidRPr="00B72242">
        <w:t>, the imposing commander</w:t>
      </w:r>
      <w:r w:rsidR="004B7732">
        <w:t xml:space="preserve"> will</w:t>
      </w:r>
      <w:r w:rsidR="00B72242" w:rsidRPr="00B72242">
        <w:t xml:space="preserve"> </w:t>
      </w:r>
      <w:r w:rsidR="0059666D">
        <w:t xml:space="preserve">promptly notify </w:t>
      </w:r>
      <w:r w:rsidR="00FD7F70">
        <w:t xml:space="preserve">the </w:t>
      </w:r>
      <w:r w:rsidR="0056793D">
        <w:t>SCA</w:t>
      </w:r>
      <w:r w:rsidR="00FD7F70">
        <w:t xml:space="preserve">.  </w:t>
      </w:r>
      <w:r w:rsidR="00693228">
        <w:t>Similarly</w:t>
      </w:r>
      <w:r w:rsidR="00FD7F70">
        <w:t xml:space="preserve">, the </w:t>
      </w:r>
      <w:r w:rsidR="00693228">
        <w:t xml:space="preserve">imposing commander’s </w:t>
      </w:r>
      <w:r w:rsidR="00FD7F70">
        <w:t xml:space="preserve">SJA will notify the </w:t>
      </w:r>
      <w:r w:rsidR="00693228">
        <w:t xml:space="preserve">SCA’s </w:t>
      </w:r>
      <w:r w:rsidR="00FD7F70">
        <w:t>SJA.</w:t>
      </w:r>
      <w:r w:rsidR="002C02E2">
        <w:t xml:space="preserve">  </w:t>
      </w:r>
      <w:r w:rsidR="009526C9">
        <w:t>Appeals will include t</w:t>
      </w:r>
      <w:r w:rsidR="002C02E2">
        <w:t>he</w:t>
      </w:r>
      <w:r w:rsidR="00017F6A">
        <w:t xml:space="preserve"> </w:t>
      </w:r>
      <w:r w:rsidR="00224394">
        <w:t xml:space="preserve">following </w:t>
      </w:r>
      <w:r w:rsidR="00B72242" w:rsidRPr="00B72242">
        <w:t>documents:</w:t>
      </w:r>
    </w:p>
    <w:p w14:paraId="7C00645C" w14:textId="77777777" w:rsidR="009C71B2" w:rsidRDefault="009C71B2" w:rsidP="000E4869"/>
    <w:p w14:paraId="361712C3" w14:textId="20DABC14" w:rsidR="00377AA2" w:rsidRDefault="00377AA2">
      <w:r>
        <w:t xml:space="preserve">         </w:t>
      </w:r>
      <w:r w:rsidR="00785769">
        <w:t xml:space="preserve"> </w:t>
      </w:r>
      <w:r>
        <w:t>(1)  A transmittal memo from the imposing commander</w:t>
      </w:r>
      <w:r w:rsidR="00BC486E">
        <w:t xml:space="preserve"> memorializing compliance with AR 27-10</w:t>
      </w:r>
      <w:r w:rsidR="008A3D6E">
        <w:t>.</w:t>
      </w:r>
      <w:r w:rsidR="00DD7D7E">
        <w:t xml:space="preserve">  See </w:t>
      </w:r>
      <w:r w:rsidR="001F7137">
        <w:t>f</w:t>
      </w:r>
      <w:r w:rsidR="00F71D0E">
        <w:t>igure</w:t>
      </w:r>
      <w:r w:rsidR="00DD7D7E">
        <w:t xml:space="preserve"> 2-3</w:t>
      </w:r>
      <w:r w:rsidR="00427FE4">
        <w:t>, for a s</w:t>
      </w:r>
      <w:r w:rsidR="00427FE4" w:rsidRPr="00427FE4">
        <w:t>ample format for Article 15 appeal transmittal</w:t>
      </w:r>
      <w:r w:rsidR="00DD7D7E">
        <w:t>.</w:t>
      </w:r>
      <w:r w:rsidR="00110771">
        <w:t xml:space="preserve">  If the appeal raises any new matters, </w:t>
      </w:r>
      <w:r w:rsidR="004652B6">
        <w:t xml:space="preserve">the imposing commander should address </w:t>
      </w:r>
      <w:r w:rsidR="00A0261C">
        <w:t xml:space="preserve">such matters </w:t>
      </w:r>
      <w:r w:rsidR="00110771">
        <w:t xml:space="preserve">in the forwarding documentation.  </w:t>
      </w:r>
    </w:p>
    <w:p w14:paraId="2E3787B3" w14:textId="77777777" w:rsidR="00377AA2" w:rsidRDefault="00377AA2"/>
    <w:p w14:paraId="235DB519" w14:textId="5142ABA7" w:rsidR="007568DD" w:rsidRDefault="00785769" w:rsidP="007568DD">
      <w:r>
        <w:t xml:space="preserve">          </w:t>
      </w:r>
      <w:r w:rsidR="007568DD">
        <w:t>(</w:t>
      </w:r>
      <w:r w:rsidR="00377AA2">
        <w:t>2</w:t>
      </w:r>
      <w:r w:rsidR="007568DD">
        <w:t>)</w:t>
      </w:r>
      <w:r w:rsidR="00994268">
        <w:t xml:space="preserve"> </w:t>
      </w:r>
      <w:r w:rsidR="007568DD">
        <w:t xml:space="preserve"> DA Form 26</w:t>
      </w:r>
      <w:r w:rsidR="007568DD" w:rsidRPr="00212560">
        <w:t>27</w:t>
      </w:r>
      <w:r w:rsidR="00212560" w:rsidRPr="00212560">
        <w:t xml:space="preserve"> (</w:t>
      </w:r>
      <w:r w:rsidR="00212560" w:rsidRPr="001E379F">
        <w:rPr>
          <w:color w:val="212529"/>
        </w:rPr>
        <w:t xml:space="preserve">Record of Proceedings </w:t>
      </w:r>
      <w:r w:rsidR="00212560" w:rsidRPr="00212560">
        <w:rPr>
          <w:color w:val="212529"/>
        </w:rPr>
        <w:t>under</w:t>
      </w:r>
      <w:r w:rsidR="00212560" w:rsidRPr="001E379F">
        <w:rPr>
          <w:color w:val="212529"/>
        </w:rPr>
        <w:t xml:space="preserve"> Article 15, UCMJ)</w:t>
      </w:r>
      <w:r w:rsidR="007568DD" w:rsidRPr="00212560">
        <w:t xml:space="preserve"> with</w:t>
      </w:r>
      <w:r w:rsidR="00D5643E" w:rsidRPr="00212560">
        <w:t xml:space="preserve"> evidenc</w:t>
      </w:r>
      <w:r w:rsidR="00D5643E" w:rsidRPr="00D5643E">
        <w:t>e considered by the imposing commander</w:t>
      </w:r>
      <w:r w:rsidR="007568DD">
        <w:t xml:space="preserve">.  </w:t>
      </w:r>
      <w:r w:rsidR="00194AAD">
        <w:t>Enter “</w:t>
      </w:r>
      <w:r w:rsidR="00E1515D">
        <w:t>DCG/</w:t>
      </w:r>
      <w:r w:rsidR="001F7137">
        <w:t>CO</w:t>
      </w:r>
      <w:r w:rsidR="008C7461">
        <w:t>S</w:t>
      </w:r>
      <w:r w:rsidR="00194AAD">
        <w:t xml:space="preserve">, TRADOC” </w:t>
      </w:r>
      <w:r w:rsidR="00EA309E">
        <w:t xml:space="preserve">or “CG, CAC” as appropriate, </w:t>
      </w:r>
      <w:r w:rsidR="00194AAD">
        <w:t xml:space="preserve">in </w:t>
      </w:r>
      <w:r w:rsidR="00212560">
        <w:t xml:space="preserve">block </w:t>
      </w:r>
      <w:r w:rsidR="007568DD">
        <w:t xml:space="preserve">4c. </w:t>
      </w:r>
      <w:r w:rsidR="00072E40">
        <w:t xml:space="preserve"> </w:t>
      </w:r>
    </w:p>
    <w:p w14:paraId="5CF9361B" w14:textId="77777777" w:rsidR="00260E3C" w:rsidRDefault="00260E3C"/>
    <w:p w14:paraId="5F9D8239" w14:textId="16C7309A" w:rsidR="00260E3C" w:rsidRDefault="00785769">
      <w:r>
        <w:t xml:space="preserve">          </w:t>
      </w:r>
      <w:r w:rsidR="00260E3C">
        <w:t>(</w:t>
      </w:r>
      <w:r w:rsidR="00377AA2">
        <w:t>3</w:t>
      </w:r>
      <w:r w:rsidR="00260E3C">
        <w:t xml:space="preserve">)  A current </w:t>
      </w:r>
      <w:r w:rsidR="00CD2B4F">
        <w:t>Soldier’s individual record brief.</w:t>
      </w:r>
    </w:p>
    <w:p w14:paraId="3899AB6F" w14:textId="77777777" w:rsidR="00260E3C" w:rsidRDefault="00260E3C"/>
    <w:p w14:paraId="7A529C49" w14:textId="766F55CE" w:rsidR="00260E3C" w:rsidRDefault="00260E3C">
      <w:r>
        <w:t xml:space="preserve">          (</w:t>
      </w:r>
      <w:r w:rsidR="00377AA2">
        <w:t>4</w:t>
      </w:r>
      <w:r>
        <w:t>)  DA Form 268</w:t>
      </w:r>
      <w:r w:rsidR="00212560">
        <w:t xml:space="preserve"> (Report to Suspend Favorable Personnel Actions (Flag)</w:t>
      </w:r>
      <w:r w:rsidR="00631101">
        <w:t>)</w:t>
      </w:r>
      <w:r>
        <w:t>.</w:t>
      </w:r>
    </w:p>
    <w:p w14:paraId="4E4289FD" w14:textId="77777777" w:rsidR="00E736C9" w:rsidRDefault="00E736C9" w:rsidP="007568DD"/>
    <w:p w14:paraId="69B49748" w14:textId="235B9244" w:rsidR="00377AA2" w:rsidRDefault="00377AA2">
      <w:r>
        <w:t xml:space="preserve">          (5) </w:t>
      </w:r>
      <w:r w:rsidR="00227991">
        <w:t xml:space="preserve"> </w:t>
      </w:r>
      <w:r w:rsidR="00F12F60">
        <w:t>D</w:t>
      </w:r>
      <w:r w:rsidR="00172223">
        <w:t xml:space="preserve">elegation of </w:t>
      </w:r>
      <w:r w:rsidR="00825AF8">
        <w:t xml:space="preserve">UCMJ, </w:t>
      </w:r>
      <w:r w:rsidR="00172223">
        <w:t>Article 15, authority</w:t>
      </w:r>
      <w:r w:rsidR="0008335E">
        <w:t xml:space="preserve"> </w:t>
      </w:r>
      <w:r w:rsidR="0008335E" w:rsidRPr="0008335E">
        <w:t xml:space="preserve">pursuant to </w:t>
      </w:r>
      <w:r w:rsidR="0008335E">
        <w:t xml:space="preserve">AR 27-10, </w:t>
      </w:r>
      <w:r>
        <w:t>if applicable.</w:t>
      </w:r>
    </w:p>
    <w:p w14:paraId="501CA655" w14:textId="77777777" w:rsidR="00F12F60" w:rsidRDefault="00F12F60"/>
    <w:p w14:paraId="7625EA69" w14:textId="14AF2E5B" w:rsidR="00F12F60" w:rsidRDefault="00F12F60">
      <w:r>
        <w:t xml:space="preserve">          (6) </w:t>
      </w:r>
      <w:r w:rsidR="00227991">
        <w:t xml:space="preserve"> </w:t>
      </w:r>
      <w:r>
        <w:t>Assumption of command</w:t>
      </w:r>
      <w:r w:rsidR="00914D7B">
        <w:t xml:space="preserve"> orders</w:t>
      </w:r>
      <w:r w:rsidR="00F5557D">
        <w:t>, if applicable.</w:t>
      </w:r>
    </w:p>
    <w:p w14:paraId="279EAEB0" w14:textId="77777777" w:rsidR="00377AA2" w:rsidRDefault="00377AA2"/>
    <w:p w14:paraId="763D98E7" w14:textId="77777777" w:rsidR="00212560" w:rsidRDefault="00C644FA">
      <w:pPr>
        <w:rPr>
          <w:sz w:val="20"/>
          <w:szCs w:val="20"/>
        </w:rPr>
      </w:pPr>
      <w:r>
        <w:lastRenderedPageBreak/>
        <w:t xml:space="preserve">          (</w:t>
      </w:r>
      <w:r w:rsidR="00F12F60">
        <w:t>7</w:t>
      </w:r>
      <w:r w:rsidR="00E736C9">
        <w:t>)</w:t>
      </w:r>
      <w:r w:rsidR="007568DD">
        <w:t xml:space="preserve"> </w:t>
      </w:r>
      <w:r w:rsidR="00994268">
        <w:t xml:space="preserve"> </w:t>
      </w:r>
      <w:r w:rsidR="00260E3C">
        <w:t>M</w:t>
      </w:r>
      <w:r w:rsidR="007568DD">
        <w:t>at</w:t>
      </w:r>
      <w:r w:rsidR="002E4005">
        <w:t>t</w:t>
      </w:r>
      <w:r w:rsidR="007568DD">
        <w:t>ers submitted by the appellant.</w:t>
      </w:r>
      <w:r w:rsidR="00E83503">
        <w:t xml:space="preserve">  </w:t>
      </w:r>
      <w:r w:rsidR="00300893">
        <w:t xml:space="preserve">Installation </w:t>
      </w:r>
      <w:r w:rsidR="008C4F82">
        <w:t xml:space="preserve">chiefs of justice </w:t>
      </w:r>
      <w:r w:rsidR="00300893">
        <w:t xml:space="preserve">will </w:t>
      </w:r>
      <w:r w:rsidR="00B6200D">
        <w:t xml:space="preserve">separately identify </w:t>
      </w:r>
      <w:r w:rsidR="00B71D99">
        <w:t xml:space="preserve">any </w:t>
      </w:r>
      <w:r w:rsidR="00300893">
        <w:t>m</w:t>
      </w:r>
      <w:r w:rsidR="00E30F26">
        <w:t xml:space="preserve">atters submitted at the hearing from </w:t>
      </w:r>
      <w:r w:rsidR="00772E36">
        <w:t xml:space="preserve">additional </w:t>
      </w:r>
      <w:r w:rsidR="00E30F26">
        <w:t xml:space="preserve">matters </w:t>
      </w:r>
      <w:r w:rsidR="00772E36">
        <w:t xml:space="preserve">received </w:t>
      </w:r>
      <w:r w:rsidR="00B71D99">
        <w:t xml:space="preserve">in conjunction with the </w:t>
      </w:r>
      <w:r w:rsidR="00772E36">
        <w:t>appeal.</w:t>
      </w:r>
    </w:p>
    <w:p w14:paraId="0DA06930" w14:textId="0B06FD35" w:rsidR="007836E9" w:rsidRDefault="007836E9">
      <w:pPr>
        <w:rPr>
          <w:sz w:val="20"/>
          <w:szCs w:val="20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9625"/>
      </w:tblGrid>
      <w:tr w:rsidR="004E6575" w:rsidRPr="00DC2195" w14:paraId="3450DD9D" w14:textId="77777777" w:rsidTr="00D65113">
        <w:trPr>
          <w:jc w:val="center"/>
        </w:trPr>
        <w:tc>
          <w:tcPr>
            <w:tcW w:w="9625" w:type="dxa"/>
          </w:tcPr>
          <w:p w14:paraId="5DF00258" w14:textId="77777777" w:rsidR="004E6575" w:rsidRPr="00F21595" w:rsidRDefault="004E6575" w:rsidP="00821028">
            <w:pPr>
              <w:tabs>
                <w:tab w:val="left" w:pos="288"/>
                <w:tab w:val="left" w:pos="63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21595">
              <w:rPr>
                <w:rFonts w:ascii="Arial" w:hAnsi="Arial" w:cs="Arial"/>
                <w:i/>
                <w:sz w:val="20"/>
                <w:szCs w:val="20"/>
              </w:rPr>
              <w:t>(Letterhead)</w:t>
            </w:r>
          </w:p>
          <w:p w14:paraId="5B96D4BD" w14:textId="77777777" w:rsidR="004E6575" w:rsidRPr="00F21595" w:rsidRDefault="004E6575" w:rsidP="00821028">
            <w:pPr>
              <w:tabs>
                <w:tab w:val="left" w:pos="288"/>
                <w:tab w:val="left" w:pos="63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6C50A5" w14:textId="77777777" w:rsidR="004E6575" w:rsidRPr="00F21595" w:rsidRDefault="004E6575" w:rsidP="0082102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21595">
              <w:rPr>
                <w:rFonts w:ascii="Arial" w:hAnsi="Arial" w:cs="Arial"/>
                <w:i/>
                <w:sz w:val="20"/>
                <w:szCs w:val="20"/>
              </w:rPr>
              <w:t>(Office Symbol)                                                                                                                                         (Date)</w:t>
            </w:r>
          </w:p>
          <w:p w14:paraId="0A5E98B2" w14:textId="77777777" w:rsidR="004E6575" w:rsidRPr="00F21595" w:rsidRDefault="004E6575" w:rsidP="0082102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149477" w14:textId="77777777" w:rsidR="004E6575" w:rsidRPr="00F21595" w:rsidRDefault="004E6575" w:rsidP="0082102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909517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11D">
              <w:rPr>
                <w:rFonts w:ascii="Arial" w:hAnsi="Arial" w:cs="Arial"/>
                <w:sz w:val="20"/>
                <w:szCs w:val="20"/>
              </w:rPr>
              <w:t xml:space="preserve">MEMORANDUM FOR </w:t>
            </w:r>
            <w:r w:rsidRPr="0047311D">
              <w:rPr>
                <w:rFonts w:ascii="Arial" w:hAnsi="Arial" w:cs="Arial"/>
                <w:i/>
                <w:sz w:val="20"/>
                <w:szCs w:val="20"/>
              </w:rPr>
              <w:t>(Superior Competent Authority)</w:t>
            </w:r>
          </w:p>
          <w:p w14:paraId="6FB4507F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80FA5D" w14:textId="6186FAFA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11D">
              <w:rPr>
                <w:rFonts w:ascii="Arial" w:hAnsi="Arial" w:cs="Arial"/>
                <w:sz w:val="20"/>
                <w:szCs w:val="20"/>
              </w:rPr>
              <w:t xml:space="preserve">SUBJECT:  </w:t>
            </w:r>
            <w:r w:rsidR="001662A5" w:rsidRPr="0047311D">
              <w:rPr>
                <w:rFonts w:ascii="Arial" w:hAnsi="Arial" w:cs="Arial"/>
                <w:sz w:val="20"/>
                <w:szCs w:val="20"/>
              </w:rPr>
              <w:t xml:space="preserve">Uniform Code of Military Justice (UCMJ), </w:t>
            </w:r>
            <w:r w:rsidRPr="0047311D">
              <w:rPr>
                <w:rFonts w:ascii="Arial" w:hAnsi="Arial" w:cs="Arial"/>
                <w:sz w:val="20"/>
                <w:szCs w:val="20"/>
              </w:rPr>
              <w:t xml:space="preserve">Article 15, Appeal; 1LT Michael F. </w:t>
            </w:r>
            <w:r w:rsidR="00AE4984" w:rsidRPr="0047311D">
              <w:rPr>
                <w:rFonts w:ascii="Arial" w:hAnsi="Arial" w:cs="Arial"/>
                <w:sz w:val="20"/>
                <w:szCs w:val="20"/>
              </w:rPr>
              <w:t>Johnson</w:t>
            </w:r>
            <w:r w:rsidRPr="0047311D">
              <w:rPr>
                <w:rFonts w:ascii="Arial" w:hAnsi="Arial" w:cs="Arial"/>
                <w:sz w:val="20"/>
                <w:szCs w:val="20"/>
              </w:rPr>
              <w:t>, 1</w:t>
            </w:r>
            <w:r w:rsidRPr="0047311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7311D">
              <w:rPr>
                <w:rFonts w:ascii="Arial" w:hAnsi="Arial" w:cs="Arial"/>
                <w:sz w:val="20"/>
                <w:szCs w:val="20"/>
              </w:rPr>
              <w:t xml:space="preserve"> Squadron, 16</w:t>
            </w:r>
            <w:r w:rsidRPr="004731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11D">
              <w:rPr>
                <w:rFonts w:ascii="Arial" w:hAnsi="Arial" w:cs="Arial"/>
                <w:sz w:val="20"/>
                <w:szCs w:val="20"/>
              </w:rPr>
              <w:t xml:space="preserve"> Cavalry Regiment, 316</w:t>
            </w:r>
            <w:r w:rsidRPr="004731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11D">
              <w:rPr>
                <w:rFonts w:ascii="Arial" w:hAnsi="Arial" w:cs="Arial"/>
                <w:sz w:val="20"/>
                <w:szCs w:val="20"/>
              </w:rPr>
              <w:t xml:space="preserve"> Cavalry Brigade, Fort Benning, GA  31905</w:t>
            </w:r>
          </w:p>
          <w:p w14:paraId="3611C715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0F4FDC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77A5F4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11D">
              <w:rPr>
                <w:rFonts w:ascii="Arial" w:hAnsi="Arial" w:cs="Arial"/>
                <w:sz w:val="20"/>
                <w:szCs w:val="20"/>
              </w:rPr>
              <w:t xml:space="preserve">1.  The above servicemember submitted an appeal of an action I imposed on 18 Jan 19 under the provisions of </w:t>
            </w:r>
            <w:r w:rsidR="001662A5" w:rsidRPr="0047311D">
              <w:rPr>
                <w:rFonts w:ascii="Arial" w:hAnsi="Arial" w:cs="Arial"/>
                <w:sz w:val="20"/>
                <w:szCs w:val="20"/>
              </w:rPr>
              <w:t xml:space="preserve">UCMJ, </w:t>
            </w:r>
            <w:r w:rsidRPr="0047311D">
              <w:rPr>
                <w:rFonts w:ascii="Arial" w:hAnsi="Arial" w:cs="Arial"/>
                <w:sz w:val="20"/>
                <w:szCs w:val="20"/>
              </w:rPr>
              <w:t xml:space="preserve">Article 15.  I am forwarding this for action in accordance with AR 27-10, </w:t>
            </w:r>
            <w:r w:rsidR="0093448D" w:rsidRPr="0047311D">
              <w:rPr>
                <w:rFonts w:ascii="Arial" w:hAnsi="Arial" w:cs="Arial"/>
                <w:sz w:val="20"/>
                <w:szCs w:val="20"/>
              </w:rPr>
              <w:t>paragraph</w:t>
            </w:r>
            <w:r w:rsidRPr="0047311D">
              <w:rPr>
                <w:rFonts w:ascii="Arial" w:hAnsi="Arial" w:cs="Arial"/>
                <w:sz w:val="20"/>
                <w:szCs w:val="20"/>
              </w:rPr>
              <w:t xml:space="preserve"> 3-33.</w:t>
            </w:r>
          </w:p>
          <w:p w14:paraId="52266538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05FE8C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11D">
              <w:rPr>
                <w:rFonts w:ascii="Arial" w:hAnsi="Arial" w:cs="Arial"/>
                <w:sz w:val="20"/>
                <w:szCs w:val="20"/>
              </w:rPr>
              <w:t>2.  As imposing commander, I reviewed the appeal pursuant to AR 27-10, para</w:t>
            </w:r>
            <w:r w:rsidR="0093448D" w:rsidRPr="0047311D">
              <w:rPr>
                <w:rFonts w:ascii="Arial" w:hAnsi="Arial" w:cs="Arial"/>
                <w:sz w:val="20"/>
                <w:szCs w:val="20"/>
              </w:rPr>
              <w:t>graph</w:t>
            </w:r>
            <w:r w:rsidRPr="0047311D">
              <w:rPr>
                <w:rFonts w:ascii="Arial" w:hAnsi="Arial" w:cs="Arial"/>
                <w:sz w:val="20"/>
                <w:szCs w:val="20"/>
              </w:rPr>
              <w:t xml:space="preserve"> 3-32.  After careful consideration of the matters submitted by the servicemember, I determined that no additional action is appropriate.  </w:t>
            </w:r>
          </w:p>
          <w:p w14:paraId="4F02F53C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86D75D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311D">
              <w:rPr>
                <w:rFonts w:ascii="Arial" w:hAnsi="Arial" w:cs="Arial"/>
                <w:sz w:val="20"/>
                <w:szCs w:val="20"/>
              </w:rPr>
              <w:t>3.  Point of contact for this action is MAJ Sarah F. Smith, Office of the Staff Judge Advocate, at (706) 545-6311.</w:t>
            </w:r>
          </w:p>
          <w:p w14:paraId="3300D916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94F3B7" w14:textId="77777777" w:rsidR="004E6575" w:rsidRPr="0047311D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567B56" w14:textId="77777777" w:rsidR="004E6575" w:rsidRPr="0047311D" w:rsidRDefault="004E6575" w:rsidP="00D651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C6737F" w14:textId="77777777" w:rsidR="004E6575" w:rsidRPr="00F21595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2159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(Commander’s signature)</w:t>
            </w:r>
          </w:p>
          <w:p w14:paraId="0749C680" w14:textId="77777777" w:rsidR="004E6575" w:rsidRPr="00DD148B" w:rsidRDefault="004E6575" w:rsidP="008210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59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(Typed name, grade, branch)</w:t>
            </w:r>
          </w:p>
        </w:tc>
      </w:tr>
    </w:tbl>
    <w:p w14:paraId="1D52A3F5" w14:textId="77777777" w:rsidR="004E6575" w:rsidRPr="00A02948" w:rsidRDefault="004E6575" w:rsidP="004E6575">
      <w:pPr>
        <w:pStyle w:val="Figure"/>
      </w:pPr>
      <w:bookmarkStart w:id="70" w:name="_Toc14699877"/>
      <w:r w:rsidRPr="00443899">
        <w:t>Figure 2-</w:t>
      </w:r>
      <w:r>
        <w:t>3</w:t>
      </w:r>
      <w:r w:rsidRPr="00443899">
        <w:t xml:space="preserve">.  </w:t>
      </w:r>
      <w:r>
        <w:t>Sample format for Article 15 appeal transmittal</w:t>
      </w:r>
      <w:bookmarkEnd w:id="70"/>
    </w:p>
    <w:p w14:paraId="0668B244" w14:textId="77777777" w:rsidR="00C644FA" w:rsidRDefault="00C644FA" w:rsidP="007568DD"/>
    <w:p w14:paraId="4204D06D" w14:textId="77777777" w:rsidR="00212560" w:rsidRDefault="006F5EFD" w:rsidP="000E4869">
      <w:pPr>
        <w:tabs>
          <w:tab w:val="left" w:pos="288"/>
          <w:tab w:val="left" w:pos="634"/>
        </w:tabs>
        <w:rPr>
          <w:rStyle w:val="Heading2Char"/>
        </w:rPr>
      </w:pPr>
      <w:bookmarkStart w:id="71" w:name="_Toc14262646"/>
      <w:bookmarkStart w:id="72" w:name="_Toc14699908"/>
      <w:bookmarkStart w:id="73" w:name="_Toc14700023"/>
      <w:bookmarkStart w:id="74" w:name="_Toc14700071"/>
      <w:r>
        <w:rPr>
          <w:rStyle w:val="Heading2Char"/>
        </w:rPr>
        <w:t>2</w:t>
      </w:r>
      <w:r w:rsidRPr="00443899">
        <w:rPr>
          <w:rStyle w:val="Heading2Char"/>
        </w:rPr>
        <w:t>-</w:t>
      </w:r>
      <w:r>
        <w:rPr>
          <w:rStyle w:val="Heading2Char"/>
        </w:rPr>
        <w:t>4</w:t>
      </w:r>
      <w:r w:rsidRPr="00443899">
        <w:rPr>
          <w:rStyle w:val="Heading2Char"/>
        </w:rPr>
        <w:t xml:space="preserve">.  </w:t>
      </w:r>
      <w:r w:rsidRPr="006F5EFD">
        <w:rPr>
          <w:rStyle w:val="Heading2Char"/>
        </w:rPr>
        <w:t>Unfavorable information</w:t>
      </w:r>
      <w:bookmarkEnd w:id="71"/>
      <w:bookmarkEnd w:id="72"/>
      <w:bookmarkEnd w:id="73"/>
      <w:bookmarkEnd w:id="74"/>
    </w:p>
    <w:p w14:paraId="798BA062" w14:textId="2E0B8C59" w:rsidR="006F5EFD" w:rsidRDefault="006F5EFD" w:rsidP="000E4869">
      <w:pPr>
        <w:tabs>
          <w:tab w:val="left" w:pos="288"/>
          <w:tab w:val="left" w:pos="634"/>
        </w:tabs>
      </w:pPr>
      <w:r w:rsidRPr="006F5EFD">
        <w:t>The TRADOC Commander delegated authority to the TRADOC DCG/</w:t>
      </w:r>
      <w:r w:rsidR="001F7137">
        <w:t>CO</w:t>
      </w:r>
      <w:r w:rsidR="008C7461">
        <w:t>S</w:t>
      </w:r>
      <w:r w:rsidRPr="006F5EFD">
        <w:t xml:space="preserve"> to make Army Military Human Resource Record filing determinations </w:t>
      </w:r>
      <w:r w:rsidR="009F56F9" w:rsidRPr="006F5EFD">
        <w:t>for general officer</w:t>
      </w:r>
      <w:r w:rsidRPr="006F5EFD">
        <w:t>-imposed, nonpunitive administrative</w:t>
      </w:r>
      <w:r w:rsidR="001F7137">
        <w:t xml:space="preserve"> memoranda of reprimand</w:t>
      </w:r>
      <w:r w:rsidRPr="006F5EFD">
        <w:t>, admonition, or censure.</w:t>
      </w:r>
    </w:p>
    <w:p w14:paraId="7C94CCF4" w14:textId="0E3D0318" w:rsidR="000E4869" w:rsidRDefault="000E4869" w:rsidP="00804D41">
      <w:pPr>
        <w:pBdr>
          <w:bottom w:val="single" w:sz="4" w:space="1" w:color="auto"/>
        </w:pBdr>
        <w:tabs>
          <w:tab w:val="left" w:pos="288"/>
          <w:tab w:val="left" w:pos="634"/>
        </w:tabs>
      </w:pPr>
    </w:p>
    <w:p w14:paraId="55AC5854" w14:textId="77777777" w:rsidR="00804D41" w:rsidRDefault="00804D41" w:rsidP="000E4869">
      <w:pPr>
        <w:tabs>
          <w:tab w:val="left" w:pos="288"/>
          <w:tab w:val="left" w:pos="634"/>
        </w:tabs>
      </w:pPr>
    </w:p>
    <w:p w14:paraId="7387A87F" w14:textId="77777777" w:rsidR="00367FC2" w:rsidRPr="00443899" w:rsidRDefault="00367FC2" w:rsidP="00D60113">
      <w:pPr>
        <w:pStyle w:val="Heading1"/>
      </w:pPr>
      <w:bookmarkStart w:id="75" w:name="_Toc442356522"/>
      <w:bookmarkStart w:id="76" w:name="_Toc442356636"/>
      <w:bookmarkStart w:id="77" w:name="_Toc14262647"/>
      <w:bookmarkStart w:id="78" w:name="_Toc14699909"/>
      <w:bookmarkStart w:id="79" w:name="_Toc14700024"/>
      <w:bookmarkStart w:id="80" w:name="_Toc14700072"/>
      <w:r w:rsidRPr="00443899">
        <w:t>Chapter 3</w:t>
      </w:r>
      <w:bookmarkEnd w:id="75"/>
      <w:bookmarkEnd w:id="76"/>
      <w:bookmarkEnd w:id="77"/>
      <w:bookmarkEnd w:id="78"/>
      <w:bookmarkEnd w:id="79"/>
      <w:bookmarkEnd w:id="80"/>
    </w:p>
    <w:p w14:paraId="3657F3B8" w14:textId="77777777" w:rsidR="00367FC2" w:rsidRPr="00443899" w:rsidRDefault="00DD6B52" w:rsidP="00D60113">
      <w:pPr>
        <w:pStyle w:val="Heading1"/>
      </w:pPr>
      <w:bookmarkStart w:id="81" w:name="_Toc14262648"/>
      <w:bookmarkStart w:id="82" w:name="_Toc14262801"/>
      <w:bookmarkStart w:id="83" w:name="_Toc14264389"/>
      <w:bookmarkStart w:id="84" w:name="_Toc14699910"/>
      <w:bookmarkStart w:id="85" w:name="_Toc14700025"/>
      <w:bookmarkStart w:id="86" w:name="_Toc14700073"/>
      <w:r>
        <w:t>Reports of Offenses</w:t>
      </w:r>
      <w:bookmarkEnd w:id="81"/>
      <w:bookmarkEnd w:id="82"/>
      <w:bookmarkEnd w:id="83"/>
      <w:bookmarkEnd w:id="84"/>
      <w:bookmarkEnd w:id="85"/>
      <w:bookmarkEnd w:id="86"/>
    </w:p>
    <w:p w14:paraId="672D9CC1" w14:textId="77777777" w:rsidR="00367FC2" w:rsidRDefault="00367FC2" w:rsidP="002109E2">
      <w:pPr>
        <w:tabs>
          <w:tab w:val="left" w:pos="288"/>
          <w:tab w:val="left" w:pos="634"/>
        </w:tabs>
        <w:rPr>
          <w:b/>
        </w:rPr>
      </w:pPr>
    </w:p>
    <w:p w14:paraId="5BE379D2" w14:textId="0B0194AB" w:rsidR="003232D5" w:rsidRDefault="00367FC2" w:rsidP="00527806">
      <w:pPr>
        <w:tabs>
          <w:tab w:val="left" w:pos="288"/>
          <w:tab w:val="left" w:pos="634"/>
        </w:tabs>
        <w:rPr>
          <w:b/>
        </w:rPr>
      </w:pPr>
      <w:bookmarkStart w:id="87" w:name="_Toc14262649"/>
      <w:bookmarkStart w:id="88" w:name="_Toc442356524"/>
      <w:bookmarkStart w:id="89" w:name="_Toc442356638"/>
      <w:bookmarkStart w:id="90" w:name="_Toc14699911"/>
      <w:bookmarkStart w:id="91" w:name="_Toc14700026"/>
      <w:bookmarkStart w:id="92" w:name="_Toc14700074"/>
      <w:r w:rsidRPr="00443899">
        <w:rPr>
          <w:rStyle w:val="Heading2Char"/>
        </w:rPr>
        <w:t xml:space="preserve">3-1.  </w:t>
      </w:r>
      <w:r w:rsidR="004027D8">
        <w:rPr>
          <w:rStyle w:val="Heading2Char"/>
        </w:rPr>
        <w:t xml:space="preserve">Significant </w:t>
      </w:r>
      <w:r w:rsidR="00420AF5">
        <w:rPr>
          <w:rStyle w:val="Heading2Char"/>
        </w:rPr>
        <w:t>a</w:t>
      </w:r>
      <w:r w:rsidR="004027D8">
        <w:rPr>
          <w:rStyle w:val="Heading2Char"/>
        </w:rPr>
        <w:t xml:space="preserve">lleged </w:t>
      </w:r>
      <w:r w:rsidR="00420AF5">
        <w:rPr>
          <w:rStyle w:val="Heading2Char"/>
        </w:rPr>
        <w:t>m</w:t>
      </w:r>
      <w:r w:rsidR="004027D8">
        <w:rPr>
          <w:rStyle w:val="Heading2Char"/>
        </w:rPr>
        <w:t xml:space="preserve">isconduct and </w:t>
      </w:r>
      <w:r w:rsidR="00420AF5">
        <w:rPr>
          <w:rStyle w:val="Heading2Char"/>
        </w:rPr>
        <w:t>h</w:t>
      </w:r>
      <w:r w:rsidR="008F0D58">
        <w:rPr>
          <w:rStyle w:val="Heading2Char"/>
        </w:rPr>
        <w:t>igh</w:t>
      </w:r>
      <w:r w:rsidR="00C520B7">
        <w:rPr>
          <w:rStyle w:val="Heading2Char"/>
        </w:rPr>
        <w:t>-</w:t>
      </w:r>
      <w:r w:rsidR="00420AF5">
        <w:rPr>
          <w:rStyle w:val="Heading2Char"/>
        </w:rPr>
        <w:t>p</w:t>
      </w:r>
      <w:r w:rsidR="008F0D58">
        <w:rPr>
          <w:rStyle w:val="Heading2Char"/>
        </w:rPr>
        <w:t xml:space="preserve">rofile </w:t>
      </w:r>
      <w:r w:rsidR="00420AF5">
        <w:rPr>
          <w:rStyle w:val="Heading2Char"/>
        </w:rPr>
        <w:t>c</w:t>
      </w:r>
      <w:r w:rsidR="008F0D58">
        <w:rPr>
          <w:rStyle w:val="Heading2Char"/>
        </w:rPr>
        <w:t>ase</w:t>
      </w:r>
      <w:r w:rsidR="00C13EB5">
        <w:rPr>
          <w:rStyle w:val="Heading2Char"/>
        </w:rPr>
        <w:t xml:space="preserve"> </w:t>
      </w:r>
      <w:r w:rsidR="00420AF5">
        <w:rPr>
          <w:rStyle w:val="Heading2Char"/>
        </w:rPr>
        <w:t>r</w:t>
      </w:r>
      <w:r w:rsidR="00861719">
        <w:rPr>
          <w:rStyle w:val="Heading2Char"/>
        </w:rPr>
        <w:t>eporting</w:t>
      </w:r>
      <w:bookmarkEnd w:id="87"/>
      <w:bookmarkEnd w:id="88"/>
      <w:bookmarkEnd w:id="89"/>
      <w:bookmarkEnd w:id="90"/>
      <w:bookmarkEnd w:id="91"/>
      <w:bookmarkEnd w:id="92"/>
      <w:r w:rsidR="00AB4FE4">
        <w:rPr>
          <w:b/>
        </w:rPr>
        <w:t xml:space="preserve">  </w:t>
      </w:r>
    </w:p>
    <w:p w14:paraId="40C541BC" w14:textId="77777777" w:rsidR="003232D5" w:rsidRDefault="003232D5" w:rsidP="00527806">
      <w:pPr>
        <w:tabs>
          <w:tab w:val="left" w:pos="288"/>
          <w:tab w:val="left" w:pos="634"/>
        </w:tabs>
        <w:rPr>
          <w:b/>
        </w:rPr>
      </w:pPr>
    </w:p>
    <w:p w14:paraId="6A7797F8" w14:textId="6E496ADE" w:rsidR="005905F9" w:rsidRDefault="00624924" w:rsidP="00527806">
      <w:pPr>
        <w:tabs>
          <w:tab w:val="left" w:pos="288"/>
          <w:tab w:val="left" w:pos="634"/>
        </w:tabs>
      </w:pPr>
      <w:r>
        <w:t xml:space="preserve">     </w:t>
      </w:r>
      <w:r w:rsidR="003232D5" w:rsidRPr="009667FB">
        <w:t>a.</w:t>
      </w:r>
      <w:r w:rsidR="003232D5" w:rsidRPr="001E379F">
        <w:t xml:space="preserve"> </w:t>
      </w:r>
      <w:r w:rsidR="007457D0" w:rsidRPr="001E379F">
        <w:t xml:space="preserve"> </w:t>
      </w:r>
      <w:r w:rsidR="00F95D94">
        <w:t xml:space="preserve">Concurrent with </w:t>
      </w:r>
      <w:r w:rsidR="00646AFA">
        <w:t xml:space="preserve">the </w:t>
      </w:r>
      <w:r w:rsidR="00917470">
        <w:t xml:space="preserve">requirements contained in </w:t>
      </w:r>
      <w:r w:rsidR="00EF4C2A">
        <w:t xml:space="preserve">AR 27-10, </w:t>
      </w:r>
      <w:r w:rsidR="005C6991">
        <w:t>SJAs</w:t>
      </w:r>
      <w:r w:rsidR="00935E77">
        <w:t xml:space="preserve">, or </w:t>
      </w:r>
      <w:r w:rsidR="00BE5C28">
        <w:t>a</w:t>
      </w:r>
      <w:r w:rsidR="00935E77">
        <w:t xml:space="preserve"> designee,</w:t>
      </w:r>
      <w:r w:rsidR="00147521">
        <w:t xml:space="preserve"> will </w:t>
      </w:r>
      <w:r w:rsidR="00917470">
        <w:t xml:space="preserve">transmit </w:t>
      </w:r>
      <w:r w:rsidR="0095167A">
        <w:t xml:space="preserve">a copy of the </w:t>
      </w:r>
      <w:r w:rsidR="00F812A5">
        <w:t xml:space="preserve">required </w:t>
      </w:r>
      <w:r w:rsidR="0095167A">
        <w:t>report</w:t>
      </w:r>
      <w:r w:rsidR="00F812A5">
        <w:t xml:space="preserve"> </w:t>
      </w:r>
      <w:r w:rsidR="00F414BE">
        <w:t xml:space="preserve">via email </w:t>
      </w:r>
      <w:r w:rsidR="0095167A">
        <w:t xml:space="preserve">to </w:t>
      </w:r>
      <w:r w:rsidR="00147521">
        <w:t xml:space="preserve">the TRADOC </w:t>
      </w:r>
      <w:r w:rsidR="00E01799">
        <w:t>SJ</w:t>
      </w:r>
      <w:r w:rsidR="00F414BE">
        <w:t>A</w:t>
      </w:r>
      <w:r w:rsidR="00AB5DC1">
        <w:t>/D</w:t>
      </w:r>
      <w:r w:rsidR="00747F9D">
        <w:t xml:space="preserve">eputy </w:t>
      </w:r>
      <w:r w:rsidR="00AB5DC1">
        <w:t>SJA</w:t>
      </w:r>
      <w:r w:rsidR="004B06FA">
        <w:t xml:space="preserve"> and</w:t>
      </w:r>
      <w:r w:rsidR="00BE5C28">
        <w:t xml:space="preserve"> </w:t>
      </w:r>
      <w:r w:rsidR="00F414BE">
        <w:t>Chief, Military Law Division</w:t>
      </w:r>
      <w:r w:rsidR="004B06FA">
        <w:t>.</w:t>
      </w:r>
    </w:p>
    <w:p w14:paraId="090DFAA9" w14:textId="77777777" w:rsidR="005905F9" w:rsidRDefault="005905F9" w:rsidP="00527806">
      <w:pPr>
        <w:tabs>
          <w:tab w:val="left" w:pos="288"/>
          <w:tab w:val="left" w:pos="634"/>
        </w:tabs>
      </w:pPr>
    </w:p>
    <w:p w14:paraId="7855D8A4" w14:textId="77777777" w:rsidR="0042731A" w:rsidRDefault="005905F9" w:rsidP="00527806">
      <w:pPr>
        <w:tabs>
          <w:tab w:val="left" w:pos="288"/>
          <w:tab w:val="left" w:pos="634"/>
        </w:tabs>
      </w:pPr>
      <w:r>
        <w:t xml:space="preserve">     b.  </w:t>
      </w:r>
      <w:r w:rsidR="00646AFA">
        <w:t xml:space="preserve">Additional circumstances which require reporting as </w:t>
      </w:r>
      <w:r w:rsidR="00D12672">
        <w:t xml:space="preserve">described </w:t>
      </w:r>
      <w:r w:rsidR="00646AFA">
        <w:t>above</w:t>
      </w:r>
      <w:r w:rsidR="00D12672">
        <w:t>:</w:t>
      </w:r>
    </w:p>
    <w:p w14:paraId="10651513" w14:textId="77777777" w:rsidR="0042731A" w:rsidRDefault="0042731A" w:rsidP="00527806">
      <w:pPr>
        <w:tabs>
          <w:tab w:val="left" w:pos="288"/>
          <w:tab w:val="left" w:pos="634"/>
        </w:tabs>
      </w:pPr>
    </w:p>
    <w:p w14:paraId="10E6395F" w14:textId="40E0AEBA" w:rsidR="00A737C9" w:rsidRDefault="00624924">
      <w:pPr>
        <w:tabs>
          <w:tab w:val="left" w:pos="288"/>
          <w:tab w:val="left" w:pos="634"/>
        </w:tabs>
        <w:ind w:left="60"/>
      </w:pPr>
      <w:r>
        <w:lastRenderedPageBreak/>
        <w:t xml:space="preserve">          </w:t>
      </w:r>
      <w:r w:rsidR="001F7137">
        <w:t>(1)</w:t>
      </w:r>
      <w:r w:rsidR="003232D5">
        <w:t xml:space="preserve"> </w:t>
      </w:r>
      <w:r w:rsidR="002E33F6">
        <w:t xml:space="preserve"> </w:t>
      </w:r>
      <w:r w:rsidR="00FE10D9">
        <w:t xml:space="preserve">Any allegation of an offense </w:t>
      </w:r>
      <w:r w:rsidR="00F45C69">
        <w:t xml:space="preserve">by a person serving as a representative in the </w:t>
      </w:r>
      <w:r w:rsidR="00E80F3A" w:rsidRPr="00E80F3A">
        <w:t>Sexual Harassment/Assault Response and Prevention</w:t>
      </w:r>
      <w:r w:rsidR="00E80F3A">
        <w:t xml:space="preserve"> Program</w:t>
      </w:r>
      <w:r w:rsidR="00F45C69">
        <w:t>.</w:t>
      </w:r>
    </w:p>
    <w:p w14:paraId="6B339F37" w14:textId="77777777" w:rsidR="00147521" w:rsidRDefault="00147521" w:rsidP="009667FB">
      <w:pPr>
        <w:tabs>
          <w:tab w:val="left" w:pos="288"/>
          <w:tab w:val="left" w:pos="634"/>
        </w:tabs>
        <w:ind w:left="60"/>
      </w:pPr>
    </w:p>
    <w:p w14:paraId="366FF98A" w14:textId="0D1D5CBB" w:rsidR="00404C14" w:rsidRDefault="00624924" w:rsidP="009667FB">
      <w:pPr>
        <w:tabs>
          <w:tab w:val="left" w:pos="288"/>
          <w:tab w:val="left" w:pos="634"/>
        </w:tabs>
        <w:ind w:left="60"/>
      </w:pPr>
      <w:r>
        <w:t xml:space="preserve">          </w:t>
      </w:r>
      <w:r w:rsidR="001F7137">
        <w:t>(</w:t>
      </w:r>
      <w:r w:rsidR="005F0433">
        <w:t>2</w:t>
      </w:r>
      <w:r w:rsidR="001F7137">
        <w:t>)</w:t>
      </w:r>
      <w:r w:rsidR="00CD4263">
        <w:t xml:space="preserve">  </w:t>
      </w:r>
      <w:r w:rsidR="0074551B">
        <w:t xml:space="preserve">Any </w:t>
      </w:r>
      <w:r w:rsidR="00FE10D9">
        <w:t>allegation of an offense</w:t>
      </w:r>
      <w:r w:rsidR="00545B9B">
        <w:t xml:space="preserve"> </w:t>
      </w:r>
      <w:r w:rsidR="00C13EB5">
        <w:t xml:space="preserve">committed by </w:t>
      </w:r>
      <w:r w:rsidR="00BE6D97">
        <w:t>Judge Advocate General’s</w:t>
      </w:r>
      <w:r w:rsidR="00E01799">
        <w:t xml:space="preserve"> Corps </w:t>
      </w:r>
      <w:r w:rsidR="00C13EB5">
        <w:t>personnel</w:t>
      </w:r>
      <w:r w:rsidR="0080214A">
        <w:t xml:space="preserve">, </w:t>
      </w:r>
      <w:r w:rsidR="00A11BBC">
        <w:t>regardless of</w:t>
      </w:r>
      <w:r w:rsidR="0080214A">
        <w:t xml:space="preserve"> rank</w:t>
      </w:r>
      <w:r w:rsidR="00A11BBC">
        <w:t>.</w:t>
      </w:r>
    </w:p>
    <w:p w14:paraId="00C50704" w14:textId="77777777" w:rsidR="00404C14" w:rsidRDefault="00404C14" w:rsidP="009667FB">
      <w:pPr>
        <w:tabs>
          <w:tab w:val="left" w:pos="288"/>
          <w:tab w:val="left" w:pos="634"/>
        </w:tabs>
        <w:ind w:left="60"/>
      </w:pPr>
    </w:p>
    <w:p w14:paraId="21AADCCD" w14:textId="77777777" w:rsidR="0094629F" w:rsidRDefault="00404C14" w:rsidP="009667FB">
      <w:pPr>
        <w:tabs>
          <w:tab w:val="left" w:pos="288"/>
          <w:tab w:val="left" w:pos="634"/>
        </w:tabs>
        <w:ind w:left="60"/>
      </w:pPr>
      <w:r>
        <w:t xml:space="preserve">     c.  In addition to the required reporting under AR 27-10, as well as incidents subject to reporting under </w:t>
      </w:r>
      <w:r w:rsidR="00EA3361">
        <w:t xml:space="preserve">TRADOC Regulation 1-8, </w:t>
      </w:r>
      <w:r w:rsidR="009B7D92">
        <w:t xml:space="preserve">SJAs are encouraged to report any other matter that may </w:t>
      </w:r>
      <w:r w:rsidR="00A751C0">
        <w:t>be of interest to TRADOC leadership.</w:t>
      </w:r>
    </w:p>
    <w:p w14:paraId="32E56EBB" w14:textId="77777777" w:rsidR="0094629F" w:rsidRDefault="0094629F" w:rsidP="009667FB">
      <w:pPr>
        <w:tabs>
          <w:tab w:val="left" w:pos="288"/>
          <w:tab w:val="left" w:pos="634"/>
        </w:tabs>
        <w:ind w:left="60"/>
      </w:pPr>
    </w:p>
    <w:p w14:paraId="26D5BB23" w14:textId="37813FE2" w:rsidR="0042731A" w:rsidRDefault="0094629F" w:rsidP="009667FB">
      <w:pPr>
        <w:tabs>
          <w:tab w:val="left" w:pos="288"/>
          <w:tab w:val="left" w:pos="634"/>
        </w:tabs>
        <w:ind w:left="60"/>
      </w:pPr>
      <w:r>
        <w:t xml:space="preserve">     d.  Commanders will report trainee abuse</w:t>
      </w:r>
      <w:r w:rsidR="00DA50EC">
        <w:t xml:space="preserve"> incidents</w:t>
      </w:r>
      <w:r w:rsidRPr="00524068">
        <w:t xml:space="preserve"> </w:t>
      </w:r>
      <w:r>
        <w:t>and maintain records of preliminary inquiries in accordance with TRADOC Regulation 350-6.</w:t>
      </w:r>
    </w:p>
    <w:p w14:paraId="7078FC93" w14:textId="77777777" w:rsidR="0042731A" w:rsidRDefault="0042731A" w:rsidP="009667FB">
      <w:pPr>
        <w:pStyle w:val="ListParagraph"/>
        <w:tabs>
          <w:tab w:val="left" w:pos="288"/>
          <w:tab w:val="left" w:pos="634"/>
        </w:tabs>
        <w:ind w:left="420"/>
      </w:pPr>
    </w:p>
    <w:p w14:paraId="48062D44" w14:textId="043B57A4" w:rsidR="00747F9D" w:rsidRDefault="00AB4FE4" w:rsidP="009667FB">
      <w:pPr>
        <w:rPr>
          <w:rStyle w:val="Heading2Char"/>
        </w:rPr>
      </w:pPr>
      <w:bookmarkStart w:id="93" w:name="_Toc14262650"/>
      <w:bookmarkStart w:id="94" w:name="_Toc14699912"/>
      <w:bookmarkStart w:id="95" w:name="_Toc14700027"/>
      <w:bookmarkStart w:id="96" w:name="_Toc14700075"/>
      <w:bookmarkStart w:id="97" w:name="_Toc442356525"/>
      <w:bookmarkStart w:id="98" w:name="_Toc442356639"/>
      <w:r w:rsidRPr="00443899">
        <w:rPr>
          <w:rStyle w:val="Heading2Char"/>
        </w:rPr>
        <w:t>3-2</w:t>
      </w:r>
      <w:r w:rsidR="00C90298">
        <w:rPr>
          <w:rStyle w:val="Heading2Char"/>
        </w:rPr>
        <w:t>.</w:t>
      </w:r>
      <w:r w:rsidRPr="00443899">
        <w:rPr>
          <w:rStyle w:val="Heading2Char"/>
        </w:rPr>
        <w:t xml:space="preserve">  </w:t>
      </w:r>
      <w:r w:rsidR="006E322A">
        <w:rPr>
          <w:rStyle w:val="Heading2Char"/>
        </w:rPr>
        <w:t>Court-</w:t>
      </w:r>
      <w:r w:rsidR="00747F9D">
        <w:rPr>
          <w:rStyle w:val="Heading2Char"/>
        </w:rPr>
        <w:t>m</w:t>
      </w:r>
      <w:r w:rsidR="0097099A">
        <w:rPr>
          <w:rStyle w:val="Heading2Char"/>
        </w:rPr>
        <w:t xml:space="preserve">artial </w:t>
      </w:r>
      <w:r w:rsidR="00747F9D">
        <w:rPr>
          <w:rStyle w:val="Heading2Char"/>
        </w:rPr>
        <w:t>r</w:t>
      </w:r>
      <w:r w:rsidR="006E322A">
        <w:rPr>
          <w:rStyle w:val="Heading2Char"/>
        </w:rPr>
        <w:t xml:space="preserve">esults </w:t>
      </w:r>
      <w:r w:rsidR="00747F9D">
        <w:rPr>
          <w:rStyle w:val="Heading2Char"/>
        </w:rPr>
        <w:t>r</w:t>
      </w:r>
      <w:r w:rsidR="006E322A">
        <w:rPr>
          <w:rStyle w:val="Heading2Char"/>
        </w:rPr>
        <w:t>eporting</w:t>
      </w:r>
      <w:bookmarkEnd w:id="93"/>
      <w:bookmarkEnd w:id="94"/>
      <w:bookmarkEnd w:id="95"/>
      <w:bookmarkEnd w:id="96"/>
    </w:p>
    <w:bookmarkEnd w:id="97"/>
    <w:bookmarkEnd w:id="98"/>
    <w:p w14:paraId="6C7E8734" w14:textId="76CE73BF" w:rsidR="00ED30F7" w:rsidRPr="00FC537D" w:rsidRDefault="008815EA" w:rsidP="009667FB">
      <w:r>
        <w:t xml:space="preserve">Upon completion of </w:t>
      </w:r>
      <w:r w:rsidR="001561F9">
        <w:t>a</w:t>
      </w:r>
      <w:r>
        <w:t xml:space="preserve"> court-martial related to any incident reported under </w:t>
      </w:r>
      <w:r w:rsidR="00CB013A">
        <w:t>this chapter</w:t>
      </w:r>
      <w:r>
        <w:t xml:space="preserve">, </w:t>
      </w:r>
      <w:r w:rsidR="00B356AE">
        <w:t xml:space="preserve">SJAs will transmit a copy of a </w:t>
      </w:r>
      <w:r w:rsidR="00747F9D">
        <w:t>s</w:t>
      </w:r>
      <w:r w:rsidR="00B356AE">
        <w:t xml:space="preserve">tatement of </w:t>
      </w:r>
      <w:r w:rsidR="00747F9D">
        <w:t>t</w:t>
      </w:r>
      <w:r w:rsidR="00B356AE">
        <w:t xml:space="preserve">rial </w:t>
      </w:r>
      <w:r w:rsidR="00747F9D">
        <w:t>r</w:t>
      </w:r>
      <w:r w:rsidR="00B356AE">
        <w:t>esults to the TRADOC Chief, Military Law Division.</w:t>
      </w:r>
    </w:p>
    <w:p w14:paraId="4D15B86C" w14:textId="77777777" w:rsidR="007A6C94" w:rsidRDefault="007A6C94" w:rsidP="009667FB">
      <w:pPr>
        <w:tabs>
          <w:tab w:val="left" w:pos="288"/>
          <w:tab w:val="left" w:pos="634"/>
        </w:tabs>
      </w:pPr>
    </w:p>
    <w:p w14:paraId="5550DBAD" w14:textId="77777777" w:rsidR="003459B1" w:rsidRPr="0045407B" w:rsidRDefault="003459B1" w:rsidP="000C2B32">
      <w:pPr>
        <w:pBdr>
          <w:top w:val="single" w:sz="4" w:space="1" w:color="auto"/>
        </w:pBdr>
        <w:tabs>
          <w:tab w:val="left" w:pos="288"/>
          <w:tab w:val="left" w:pos="634"/>
        </w:tabs>
      </w:pPr>
    </w:p>
    <w:p w14:paraId="1A0870E3" w14:textId="77777777" w:rsidR="0045407B" w:rsidRPr="00FB3FC9" w:rsidRDefault="0045407B" w:rsidP="00D60113">
      <w:pPr>
        <w:pStyle w:val="Heading1"/>
      </w:pPr>
      <w:bookmarkStart w:id="99" w:name="_Appendix_A"/>
      <w:bookmarkStart w:id="100" w:name="_Toc442356526"/>
      <w:bookmarkStart w:id="101" w:name="_Toc442356640"/>
      <w:bookmarkStart w:id="102" w:name="_Toc14262651"/>
      <w:bookmarkStart w:id="103" w:name="_Toc14699913"/>
      <w:bookmarkStart w:id="104" w:name="_Toc14700028"/>
      <w:bookmarkStart w:id="105" w:name="_Toc14700076"/>
      <w:bookmarkEnd w:id="99"/>
      <w:r w:rsidRPr="00FB3FC9">
        <w:t>Appendix A</w:t>
      </w:r>
      <w:bookmarkEnd w:id="100"/>
      <w:bookmarkEnd w:id="101"/>
      <w:bookmarkEnd w:id="102"/>
      <w:bookmarkEnd w:id="103"/>
      <w:bookmarkEnd w:id="104"/>
      <w:bookmarkEnd w:id="105"/>
    </w:p>
    <w:p w14:paraId="50DF83AA" w14:textId="77777777" w:rsidR="0045407B" w:rsidRDefault="0045407B" w:rsidP="00D60113">
      <w:pPr>
        <w:pStyle w:val="Heading1"/>
      </w:pPr>
      <w:bookmarkStart w:id="106" w:name="_Toc442356527"/>
      <w:bookmarkStart w:id="107" w:name="_Toc442356641"/>
      <w:bookmarkStart w:id="108" w:name="_Toc14262652"/>
      <w:bookmarkStart w:id="109" w:name="_Toc14262805"/>
      <w:bookmarkStart w:id="110" w:name="_Toc14264393"/>
      <w:bookmarkStart w:id="111" w:name="_Toc14699914"/>
      <w:bookmarkStart w:id="112" w:name="_Toc14700029"/>
      <w:bookmarkStart w:id="113" w:name="_Toc14700077"/>
      <w:r w:rsidRPr="00FB3FC9">
        <w:t>References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4C68D0F" w14:textId="77777777" w:rsidR="00747F9D" w:rsidRDefault="00747F9D" w:rsidP="00077158"/>
    <w:p w14:paraId="64FE4428" w14:textId="77777777" w:rsidR="00747F9D" w:rsidRPr="0031246B" w:rsidRDefault="00747F9D" w:rsidP="00747F9D">
      <w:pPr>
        <w:rPr>
          <w:b/>
        </w:rPr>
      </w:pPr>
      <w:r w:rsidRPr="0031246B">
        <w:rPr>
          <w:b/>
        </w:rPr>
        <w:t>Section I</w:t>
      </w:r>
    </w:p>
    <w:p w14:paraId="701E2E78" w14:textId="09898CE6" w:rsidR="00747F9D" w:rsidRPr="0031246B" w:rsidRDefault="00747F9D" w:rsidP="00077158">
      <w:pPr>
        <w:rPr>
          <w:b/>
        </w:rPr>
      </w:pPr>
      <w:r w:rsidRPr="0031246B">
        <w:rPr>
          <w:b/>
        </w:rPr>
        <w:t>Required Publications</w:t>
      </w:r>
    </w:p>
    <w:p w14:paraId="02D551B7" w14:textId="77777777" w:rsidR="00077158" w:rsidRDefault="00077158" w:rsidP="00077158"/>
    <w:p w14:paraId="113DB911" w14:textId="77777777" w:rsidR="00077158" w:rsidRPr="0031246B" w:rsidRDefault="00077158" w:rsidP="00077158">
      <w:pPr>
        <w:tabs>
          <w:tab w:val="left" w:pos="288"/>
          <w:tab w:val="left" w:pos="634"/>
        </w:tabs>
      </w:pPr>
      <w:r w:rsidRPr="0031246B">
        <w:t>AR 15-6</w:t>
      </w:r>
    </w:p>
    <w:p w14:paraId="07F16BAA" w14:textId="77777777" w:rsidR="00077158" w:rsidRDefault="00077158" w:rsidP="00077158">
      <w:pPr>
        <w:tabs>
          <w:tab w:val="left" w:pos="288"/>
          <w:tab w:val="left" w:pos="634"/>
        </w:tabs>
      </w:pPr>
      <w:r w:rsidRPr="0045407B">
        <w:t>Procedures for Investigating Officers and Boards of Officers</w:t>
      </w:r>
    </w:p>
    <w:p w14:paraId="53BC0BDC" w14:textId="77777777" w:rsidR="00077158" w:rsidRDefault="00077158" w:rsidP="00077158">
      <w:pPr>
        <w:tabs>
          <w:tab w:val="left" w:pos="288"/>
          <w:tab w:val="left" w:pos="634"/>
        </w:tabs>
      </w:pPr>
    </w:p>
    <w:p w14:paraId="4A223AD6" w14:textId="77777777" w:rsidR="00077158" w:rsidRPr="0031246B" w:rsidRDefault="00077158" w:rsidP="00077158">
      <w:pPr>
        <w:tabs>
          <w:tab w:val="left" w:pos="288"/>
          <w:tab w:val="left" w:pos="634"/>
        </w:tabs>
      </w:pPr>
      <w:r w:rsidRPr="0031246B">
        <w:t>AR 27-10</w:t>
      </w:r>
    </w:p>
    <w:p w14:paraId="1E380A06" w14:textId="77777777" w:rsidR="00077158" w:rsidRPr="0045407B" w:rsidRDefault="00077158" w:rsidP="00077158">
      <w:pPr>
        <w:tabs>
          <w:tab w:val="left" w:pos="288"/>
          <w:tab w:val="left" w:pos="634"/>
        </w:tabs>
      </w:pPr>
      <w:r>
        <w:t>Military Justice</w:t>
      </w:r>
    </w:p>
    <w:p w14:paraId="66E53955" w14:textId="77777777" w:rsidR="00077158" w:rsidRPr="0045407B" w:rsidRDefault="00077158" w:rsidP="00077158">
      <w:pPr>
        <w:tabs>
          <w:tab w:val="left" w:pos="288"/>
          <w:tab w:val="left" w:pos="634"/>
        </w:tabs>
      </w:pPr>
    </w:p>
    <w:p w14:paraId="16619860" w14:textId="77777777" w:rsidR="00747F9D" w:rsidRPr="001F7137" w:rsidRDefault="00747F9D" w:rsidP="00747F9D">
      <w:pPr>
        <w:rPr>
          <w:b/>
        </w:rPr>
      </w:pPr>
      <w:r w:rsidRPr="001F7137">
        <w:rPr>
          <w:b/>
        </w:rPr>
        <w:t>Section II</w:t>
      </w:r>
    </w:p>
    <w:p w14:paraId="7943CBB2" w14:textId="391F5C10" w:rsidR="00747F9D" w:rsidRPr="001F7137" w:rsidRDefault="00747F9D" w:rsidP="00077158">
      <w:pPr>
        <w:rPr>
          <w:b/>
        </w:rPr>
      </w:pPr>
      <w:r w:rsidRPr="001F7137">
        <w:rPr>
          <w:b/>
        </w:rPr>
        <w:t>Related Publications</w:t>
      </w:r>
    </w:p>
    <w:p w14:paraId="031BACB4" w14:textId="767126E4" w:rsidR="00747F9D" w:rsidRDefault="00747F9D" w:rsidP="00077158">
      <w:r w:rsidRPr="00747F9D">
        <w:t>A related publication is a source of additional information</w:t>
      </w:r>
      <w:r w:rsidR="00AE57C3" w:rsidRPr="00747F9D">
        <w:t xml:space="preserve">.  </w:t>
      </w:r>
      <w:r w:rsidRPr="00747F9D">
        <w:t>Users do not have to read a related reference to understand this publication.</w:t>
      </w:r>
    </w:p>
    <w:p w14:paraId="31BC0DBC" w14:textId="77777777" w:rsidR="00B70894" w:rsidRDefault="00B70894" w:rsidP="00B70894"/>
    <w:p w14:paraId="207DDE24" w14:textId="77777777" w:rsidR="00B70894" w:rsidRPr="0031246B" w:rsidRDefault="00B70894" w:rsidP="00B70894">
      <w:pPr>
        <w:tabs>
          <w:tab w:val="left" w:pos="288"/>
          <w:tab w:val="left" w:pos="634"/>
        </w:tabs>
      </w:pPr>
      <w:r w:rsidRPr="0031246B">
        <w:t>AR 25–400–2</w:t>
      </w:r>
    </w:p>
    <w:p w14:paraId="17BFBCD6" w14:textId="77777777" w:rsidR="00B70894" w:rsidRDefault="00B70894" w:rsidP="00B70894">
      <w:pPr>
        <w:tabs>
          <w:tab w:val="left" w:pos="288"/>
          <w:tab w:val="left" w:pos="634"/>
        </w:tabs>
      </w:pPr>
      <w:r w:rsidRPr="00BF3A28">
        <w:t>The Army Records Information Management System (ARIMS)</w:t>
      </w:r>
    </w:p>
    <w:p w14:paraId="08D95A3A" w14:textId="77777777" w:rsidR="00077158" w:rsidRDefault="00077158" w:rsidP="00B70894">
      <w:pPr>
        <w:tabs>
          <w:tab w:val="left" w:pos="288"/>
          <w:tab w:val="left" w:pos="634"/>
        </w:tabs>
      </w:pPr>
    </w:p>
    <w:p w14:paraId="4B9D0D61" w14:textId="77777777" w:rsidR="00077158" w:rsidRPr="0031246B" w:rsidRDefault="00077158" w:rsidP="00077158">
      <w:pPr>
        <w:tabs>
          <w:tab w:val="left" w:pos="288"/>
          <w:tab w:val="left" w:pos="634"/>
        </w:tabs>
      </w:pPr>
      <w:r w:rsidRPr="0031246B">
        <w:t xml:space="preserve">AR 600-37 </w:t>
      </w:r>
    </w:p>
    <w:p w14:paraId="63171DA6" w14:textId="77777777" w:rsidR="00077158" w:rsidRDefault="00077158" w:rsidP="00077158">
      <w:pPr>
        <w:tabs>
          <w:tab w:val="left" w:pos="288"/>
          <w:tab w:val="left" w:pos="634"/>
        </w:tabs>
      </w:pPr>
      <w:r>
        <w:t>Unfavorable Information</w:t>
      </w:r>
    </w:p>
    <w:p w14:paraId="143FC9D7" w14:textId="77777777" w:rsidR="00077158" w:rsidRDefault="00077158" w:rsidP="00077158">
      <w:pPr>
        <w:tabs>
          <w:tab w:val="left" w:pos="288"/>
          <w:tab w:val="left" w:pos="634"/>
        </w:tabs>
      </w:pPr>
    </w:p>
    <w:p w14:paraId="53DAA03F" w14:textId="77777777" w:rsidR="00077158" w:rsidRPr="0031246B" w:rsidRDefault="00077158" w:rsidP="00077158">
      <w:pPr>
        <w:tabs>
          <w:tab w:val="left" w:pos="288"/>
          <w:tab w:val="left" w:pos="634"/>
        </w:tabs>
      </w:pPr>
      <w:r w:rsidRPr="0031246B">
        <w:t>MCM United States (2019 Edition)</w:t>
      </w:r>
    </w:p>
    <w:p w14:paraId="05426A48" w14:textId="77777777" w:rsidR="00077158" w:rsidRDefault="00077158" w:rsidP="00077158">
      <w:pPr>
        <w:tabs>
          <w:tab w:val="left" w:pos="288"/>
          <w:tab w:val="left" w:pos="634"/>
        </w:tabs>
      </w:pPr>
      <w:r w:rsidRPr="000577D0">
        <w:t>Manual for Courts-Martial</w:t>
      </w:r>
    </w:p>
    <w:p w14:paraId="5FF3F404" w14:textId="77777777" w:rsidR="00077158" w:rsidRDefault="00077158" w:rsidP="00077158">
      <w:pPr>
        <w:tabs>
          <w:tab w:val="left" w:pos="288"/>
          <w:tab w:val="left" w:pos="634"/>
        </w:tabs>
      </w:pPr>
    </w:p>
    <w:p w14:paraId="2CE52F92" w14:textId="77777777" w:rsidR="00077158" w:rsidRPr="0031246B" w:rsidRDefault="00077158" w:rsidP="00077158">
      <w:pPr>
        <w:tabs>
          <w:tab w:val="left" w:pos="288"/>
          <w:tab w:val="left" w:pos="634"/>
        </w:tabs>
      </w:pPr>
      <w:r w:rsidRPr="0031246B">
        <w:t>UCMJ</w:t>
      </w:r>
    </w:p>
    <w:p w14:paraId="192314FA" w14:textId="2525A914" w:rsidR="00314881" w:rsidRDefault="00077158" w:rsidP="00D65113">
      <w:pPr>
        <w:tabs>
          <w:tab w:val="left" w:pos="288"/>
          <w:tab w:val="left" w:pos="634"/>
        </w:tabs>
      </w:pPr>
      <w:r w:rsidRPr="00881CD1">
        <w:t>Uniform Code of Military Justice</w:t>
      </w:r>
    </w:p>
    <w:p w14:paraId="355CA03C" w14:textId="4311B394" w:rsidR="00747F9D" w:rsidRPr="001F7137" w:rsidRDefault="00747F9D" w:rsidP="00747F9D">
      <w:pPr>
        <w:rPr>
          <w:b/>
        </w:rPr>
      </w:pPr>
      <w:r w:rsidRPr="001F7137">
        <w:rPr>
          <w:b/>
        </w:rPr>
        <w:lastRenderedPageBreak/>
        <w:t>Section III</w:t>
      </w:r>
    </w:p>
    <w:p w14:paraId="3D7BEFFE" w14:textId="77777777" w:rsidR="00747F9D" w:rsidRPr="001F7137" w:rsidRDefault="00747F9D" w:rsidP="00747F9D">
      <w:pPr>
        <w:rPr>
          <w:b/>
        </w:rPr>
      </w:pPr>
      <w:r w:rsidRPr="001F7137">
        <w:rPr>
          <w:b/>
        </w:rPr>
        <w:t>Prescribed Forms</w:t>
      </w:r>
    </w:p>
    <w:p w14:paraId="238C2202" w14:textId="77777777" w:rsidR="00747F9D" w:rsidRDefault="00747F9D" w:rsidP="00747F9D"/>
    <w:p w14:paraId="52A2C6FD" w14:textId="56B2C714" w:rsidR="00747F9D" w:rsidRDefault="00747F9D" w:rsidP="00077158">
      <w:r>
        <w:t>This section contains no entries.</w:t>
      </w:r>
    </w:p>
    <w:p w14:paraId="5201751A" w14:textId="77777777" w:rsidR="00747F9D" w:rsidRDefault="00747F9D" w:rsidP="00077158"/>
    <w:p w14:paraId="71D1977D" w14:textId="77777777" w:rsidR="00747F9D" w:rsidRPr="001F7137" w:rsidRDefault="00747F9D" w:rsidP="00747F9D">
      <w:pPr>
        <w:rPr>
          <w:b/>
        </w:rPr>
      </w:pPr>
      <w:r w:rsidRPr="001F7137">
        <w:rPr>
          <w:b/>
        </w:rPr>
        <w:t>Section IV</w:t>
      </w:r>
    </w:p>
    <w:p w14:paraId="1CF64023" w14:textId="10AD793E" w:rsidR="00747F9D" w:rsidRPr="001F7137" w:rsidRDefault="00747F9D" w:rsidP="00077158">
      <w:pPr>
        <w:rPr>
          <w:b/>
        </w:rPr>
      </w:pPr>
      <w:r w:rsidRPr="001F7137">
        <w:rPr>
          <w:b/>
        </w:rPr>
        <w:t>Referenced Forms</w:t>
      </w:r>
    </w:p>
    <w:p w14:paraId="6A11097A" w14:textId="3DA19558" w:rsidR="00747F9D" w:rsidRPr="00747F9D" w:rsidRDefault="00747F9D" w:rsidP="00077158">
      <w:r w:rsidRPr="00747F9D">
        <w:t xml:space="preserve">Unless otherwise indicated, DA forms are available on the </w:t>
      </w:r>
      <w:hyperlink r:id="rId14" w:history="1">
        <w:r w:rsidRPr="00747F9D">
          <w:rPr>
            <w:rStyle w:val="Hyperlink"/>
          </w:rPr>
          <w:t>Army Publishing Directorate</w:t>
        </w:r>
      </w:hyperlink>
      <w:r w:rsidRPr="00747F9D">
        <w:t xml:space="preserve"> we</w:t>
      </w:r>
      <w:r>
        <w:t>bsite.</w:t>
      </w:r>
    </w:p>
    <w:p w14:paraId="29CAEA60" w14:textId="77777777" w:rsidR="0045407B" w:rsidRDefault="0045407B" w:rsidP="002109E2">
      <w:pPr>
        <w:tabs>
          <w:tab w:val="left" w:pos="288"/>
          <w:tab w:val="left" w:pos="634"/>
        </w:tabs>
      </w:pPr>
    </w:p>
    <w:p w14:paraId="0F9E7468" w14:textId="77777777" w:rsidR="00077158" w:rsidRDefault="00077158" w:rsidP="002109E2">
      <w:pPr>
        <w:tabs>
          <w:tab w:val="left" w:pos="288"/>
          <w:tab w:val="left" w:pos="634"/>
        </w:tabs>
      </w:pPr>
      <w:r>
        <w:t>DA Form 268</w:t>
      </w:r>
    </w:p>
    <w:p w14:paraId="2EB56064" w14:textId="5877A601" w:rsidR="00077158" w:rsidRDefault="00077158" w:rsidP="002109E2">
      <w:pPr>
        <w:tabs>
          <w:tab w:val="left" w:pos="288"/>
          <w:tab w:val="left" w:pos="634"/>
        </w:tabs>
      </w:pPr>
      <w:r>
        <w:t>Report to Suspend Favorable Personnel Actions (Flag)</w:t>
      </w:r>
    </w:p>
    <w:p w14:paraId="7A062916" w14:textId="77777777" w:rsidR="00077158" w:rsidRDefault="00077158" w:rsidP="002109E2">
      <w:pPr>
        <w:tabs>
          <w:tab w:val="left" w:pos="288"/>
          <w:tab w:val="left" w:pos="634"/>
        </w:tabs>
      </w:pPr>
    </w:p>
    <w:p w14:paraId="2C8669C7" w14:textId="77777777" w:rsidR="00077158" w:rsidRDefault="00077158" w:rsidP="002109E2">
      <w:pPr>
        <w:tabs>
          <w:tab w:val="left" w:pos="288"/>
          <w:tab w:val="left" w:pos="634"/>
        </w:tabs>
      </w:pPr>
      <w:r>
        <w:t>Form 2028</w:t>
      </w:r>
    </w:p>
    <w:p w14:paraId="596326E3" w14:textId="48BEE9CA" w:rsidR="00077158" w:rsidRDefault="00077158" w:rsidP="002109E2">
      <w:pPr>
        <w:tabs>
          <w:tab w:val="left" w:pos="288"/>
          <w:tab w:val="left" w:pos="634"/>
        </w:tabs>
      </w:pPr>
      <w:r>
        <w:t>Recommended Changes to Publications and Blank Forms</w:t>
      </w:r>
    </w:p>
    <w:p w14:paraId="7F3FAAC6" w14:textId="77777777" w:rsidR="00077158" w:rsidRPr="0045407B" w:rsidRDefault="00077158" w:rsidP="002109E2">
      <w:pPr>
        <w:tabs>
          <w:tab w:val="left" w:pos="288"/>
          <w:tab w:val="left" w:pos="634"/>
        </w:tabs>
      </w:pPr>
    </w:p>
    <w:p w14:paraId="7E591316" w14:textId="77777777" w:rsidR="00077158" w:rsidRDefault="00077158" w:rsidP="002109E2">
      <w:pPr>
        <w:tabs>
          <w:tab w:val="left" w:pos="288"/>
          <w:tab w:val="left" w:pos="634"/>
        </w:tabs>
      </w:pPr>
      <w:r>
        <w:t>DA Form 26</w:t>
      </w:r>
      <w:r w:rsidRPr="00212560">
        <w:t>27</w:t>
      </w:r>
    </w:p>
    <w:p w14:paraId="53BC6B8B" w14:textId="70ED4731" w:rsidR="004E2812" w:rsidRDefault="00077158" w:rsidP="002109E2">
      <w:pPr>
        <w:tabs>
          <w:tab w:val="left" w:pos="288"/>
          <w:tab w:val="left" w:pos="634"/>
        </w:tabs>
        <w:rPr>
          <w:color w:val="212529"/>
        </w:rPr>
      </w:pPr>
      <w:r w:rsidRPr="00077158">
        <w:rPr>
          <w:color w:val="212529"/>
        </w:rPr>
        <w:t xml:space="preserve">Record of Proceedings </w:t>
      </w:r>
      <w:r w:rsidRPr="00212560">
        <w:rPr>
          <w:color w:val="212529"/>
        </w:rPr>
        <w:t>under</w:t>
      </w:r>
      <w:r w:rsidRPr="00077158">
        <w:rPr>
          <w:color w:val="212529"/>
        </w:rPr>
        <w:t xml:space="preserve"> Article 15, UCMJ</w:t>
      </w:r>
    </w:p>
    <w:p w14:paraId="16F17578" w14:textId="77777777" w:rsidR="003459B1" w:rsidRDefault="003459B1" w:rsidP="00797853">
      <w:pPr>
        <w:tabs>
          <w:tab w:val="left" w:pos="288"/>
          <w:tab w:val="left" w:pos="634"/>
        </w:tabs>
      </w:pPr>
    </w:p>
    <w:p w14:paraId="48343CA8" w14:textId="77777777" w:rsidR="003459B1" w:rsidRDefault="003459B1" w:rsidP="0092168D">
      <w:pPr>
        <w:pBdr>
          <w:top w:val="single" w:sz="4" w:space="1" w:color="auto"/>
        </w:pBdr>
        <w:tabs>
          <w:tab w:val="left" w:pos="288"/>
          <w:tab w:val="left" w:pos="634"/>
        </w:tabs>
        <w:rPr>
          <w:b/>
        </w:rPr>
      </w:pPr>
    </w:p>
    <w:p w14:paraId="1707DE7D" w14:textId="77777777" w:rsidR="0045407B" w:rsidRPr="00FB3FC9" w:rsidRDefault="0045407B" w:rsidP="00D60113">
      <w:pPr>
        <w:pStyle w:val="Heading1"/>
      </w:pPr>
      <w:bookmarkStart w:id="114" w:name="_Glossary"/>
      <w:bookmarkStart w:id="115" w:name="_Toc442356528"/>
      <w:bookmarkStart w:id="116" w:name="_Toc442356642"/>
      <w:bookmarkStart w:id="117" w:name="_Toc14262653"/>
      <w:bookmarkStart w:id="118" w:name="_Toc14699915"/>
      <w:bookmarkStart w:id="119" w:name="_Toc14700030"/>
      <w:bookmarkStart w:id="120" w:name="_Toc14700078"/>
      <w:bookmarkEnd w:id="114"/>
      <w:r w:rsidRPr="00FB3FC9">
        <w:t>Glossary</w:t>
      </w:r>
      <w:bookmarkEnd w:id="115"/>
      <w:bookmarkEnd w:id="116"/>
      <w:bookmarkEnd w:id="117"/>
      <w:bookmarkEnd w:id="118"/>
      <w:bookmarkEnd w:id="119"/>
      <w:bookmarkEnd w:id="120"/>
    </w:p>
    <w:p w14:paraId="23EF12A4" w14:textId="77777777" w:rsidR="002109E2" w:rsidRDefault="002109E2" w:rsidP="002109E2">
      <w:pPr>
        <w:tabs>
          <w:tab w:val="left" w:pos="288"/>
          <w:tab w:val="left" w:pos="634"/>
        </w:tabs>
      </w:pPr>
    </w:p>
    <w:p w14:paraId="27142163" w14:textId="0D8843B6" w:rsidR="006F17E4" w:rsidRDefault="0045407B" w:rsidP="002109E2">
      <w:pPr>
        <w:tabs>
          <w:tab w:val="left" w:pos="288"/>
          <w:tab w:val="left" w:pos="634"/>
        </w:tabs>
      </w:pPr>
      <w:r w:rsidRPr="0045407B">
        <w:t>AR</w:t>
      </w:r>
      <w:r w:rsidRPr="0045407B">
        <w:tab/>
      </w:r>
      <w:r w:rsidR="002109E2">
        <w:tab/>
      </w:r>
      <w:r w:rsidR="002109E2">
        <w:tab/>
      </w:r>
      <w:r w:rsidR="00747F9D">
        <w:t xml:space="preserve">Army </w:t>
      </w:r>
      <w:r w:rsidR="001F7137">
        <w:t>r</w:t>
      </w:r>
      <w:r w:rsidR="001924F5" w:rsidRPr="0045407B">
        <w:t>egulation</w:t>
      </w:r>
    </w:p>
    <w:p w14:paraId="4A5195F3" w14:textId="19F4A043" w:rsidR="0045407B" w:rsidRPr="0045407B" w:rsidRDefault="0045407B" w:rsidP="002109E2">
      <w:pPr>
        <w:tabs>
          <w:tab w:val="left" w:pos="288"/>
          <w:tab w:val="left" w:pos="634"/>
        </w:tabs>
      </w:pPr>
      <w:r w:rsidRPr="0045407B">
        <w:t>CAC</w:t>
      </w:r>
      <w:r w:rsidRPr="0045407B">
        <w:tab/>
      </w:r>
      <w:r w:rsidR="002109E2">
        <w:tab/>
      </w:r>
      <w:r w:rsidR="002109E2">
        <w:tab/>
      </w:r>
      <w:r w:rsidR="00747F9D">
        <w:t xml:space="preserve">U.S. Army </w:t>
      </w:r>
      <w:r w:rsidRPr="0045407B">
        <w:t>Combined Arms Center</w:t>
      </w:r>
    </w:p>
    <w:p w14:paraId="36F273F4" w14:textId="20F287C9" w:rsidR="004A789C" w:rsidRPr="0045407B" w:rsidRDefault="004A789C" w:rsidP="002109E2">
      <w:pPr>
        <w:tabs>
          <w:tab w:val="left" w:pos="288"/>
          <w:tab w:val="left" w:pos="634"/>
        </w:tabs>
      </w:pPr>
      <w:r>
        <w:t>DCG/</w:t>
      </w:r>
      <w:r w:rsidR="001F7137">
        <w:t>CO</w:t>
      </w:r>
      <w:r w:rsidR="008C7461">
        <w:t>S</w:t>
      </w:r>
      <w:r w:rsidR="00747F9D">
        <w:tab/>
      </w:r>
      <w:r>
        <w:t>Deputy Commanding General/Chief of Staff</w:t>
      </w:r>
    </w:p>
    <w:p w14:paraId="0E5727F8" w14:textId="77777777" w:rsidR="0045407B" w:rsidRPr="0045407B" w:rsidRDefault="0045407B" w:rsidP="002109E2">
      <w:pPr>
        <w:tabs>
          <w:tab w:val="left" w:pos="288"/>
          <w:tab w:val="left" w:pos="634"/>
        </w:tabs>
      </w:pPr>
      <w:r w:rsidRPr="0045407B">
        <w:t>GCMCA</w:t>
      </w:r>
      <w:r w:rsidRPr="0045407B">
        <w:tab/>
        <w:t>General Court-Martial Convening Authority</w:t>
      </w:r>
    </w:p>
    <w:p w14:paraId="14A8AD56" w14:textId="77777777" w:rsidR="001738CB" w:rsidRDefault="001738CB" w:rsidP="002109E2">
      <w:pPr>
        <w:tabs>
          <w:tab w:val="left" w:pos="288"/>
          <w:tab w:val="left" w:pos="634"/>
        </w:tabs>
      </w:pPr>
      <w:r w:rsidRPr="001738CB">
        <w:t>RRS-A</w:t>
      </w:r>
      <w:r>
        <w:tab/>
      </w:r>
      <w:r w:rsidR="00AA526E">
        <w:tab/>
      </w:r>
      <w:r w:rsidR="00AA526E" w:rsidRPr="00AA526E">
        <w:t>Records Retention Schedule</w:t>
      </w:r>
      <w:r w:rsidR="00AA526E">
        <w:t>-</w:t>
      </w:r>
      <w:r w:rsidR="00AA526E" w:rsidRPr="00AA526E">
        <w:t>Army</w:t>
      </w:r>
    </w:p>
    <w:p w14:paraId="260E8141" w14:textId="12B5DB5A" w:rsidR="00C663C4" w:rsidRDefault="00C663C4" w:rsidP="002109E2">
      <w:pPr>
        <w:tabs>
          <w:tab w:val="left" w:pos="288"/>
          <w:tab w:val="left" w:pos="634"/>
        </w:tabs>
      </w:pPr>
      <w:r>
        <w:t>SCA</w:t>
      </w:r>
      <w:r>
        <w:tab/>
      </w:r>
      <w:r>
        <w:tab/>
      </w:r>
      <w:r>
        <w:tab/>
      </w:r>
      <w:r w:rsidR="001F7137">
        <w:t>s</w:t>
      </w:r>
      <w:r>
        <w:t xml:space="preserve">uperior </w:t>
      </w:r>
      <w:r w:rsidR="001F7137">
        <w:t>c</w:t>
      </w:r>
      <w:r>
        <w:t xml:space="preserve">ompetent </w:t>
      </w:r>
      <w:r w:rsidR="001F7137">
        <w:t>a</w:t>
      </w:r>
      <w:r>
        <w:t>uthority</w:t>
      </w:r>
    </w:p>
    <w:p w14:paraId="15815942" w14:textId="77777777" w:rsidR="00F45C69" w:rsidRDefault="00F45C69" w:rsidP="002109E2">
      <w:pPr>
        <w:tabs>
          <w:tab w:val="left" w:pos="288"/>
          <w:tab w:val="left" w:pos="634"/>
        </w:tabs>
      </w:pPr>
      <w:r>
        <w:t>SHARP</w:t>
      </w:r>
      <w:r>
        <w:tab/>
      </w:r>
      <w:r w:rsidRPr="00F45C69">
        <w:t>Sexual Harassment/Assault Response and Prevention</w:t>
      </w:r>
      <w:r>
        <w:t xml:space="preserve"> </w:t>
      </w:r>
    </w:p>
    <w:p w14:paraId="1E49E6C3" w14:textId="4CF3E380" w:rsidR="0007007F" w:rsidRDefault="0007007F" w:rsidP="002109E2">
      <w:pPr>
        <w:tabs>
          <w:tab w:val="left" w:pos="288"/>
          <w:tab w:val="left" w:pos="634"/>
        </w:tabs>
      </w:pPr>
      <w:r>
        <w:t>SJA</w:t>
      </w:r>
      <w:r>
        <w:tab/>
      </w:r>
      <w:r>
        <w:tab/>
      </w:r>
      <w:r>
        <w:tab/>
      </w:r>
      <w:r w:rsidR="001F7137">
        <w:t>s</w:t>
      </w:r>
      <w:r w:rsidR="00314881">
        <w:t xml:space="preserve">taff </w:t>
      </w:r>
      <w:r w:rsidR="001F7137">
        <w:t>judge a</w:t>
      </w:r>
      <w:r w:rsidR="00314881">
        <w:t>dvocate</w:t>
      </w:r>
    </w:p>
    <w:p w14:paraId="142679A5" w14:textId="0BF2857C" w:rsidR="0045407B" w:rsidRPr="0045407B" w:rsidRDefault="00667DCB" w:rsidP="002109E2">
      <w:pPr>
        <w:tabs>
          <w:tab w:val="left" w:pos="288"/>
          <w:tab w:val="left" w:pos="634"/>
        </w:tabs>
      </w:pPr>
      <w:r>
        <w:t>TRADOC</w:t>
      </w:r>
      <w:r>
        <w:tab/>
        <w:t>U.S.</w:t>
      </w:r>
      <w:r w:rsidR="0045407B" w:rsidRPr="0045407B">
        <w:t xml:space="preserve"> Army Training and Doctrine Command</w:t>
      </w:r>
    </w:p>
    <w:p w14:paraId="23156843" w14:textId="77777777" w:rsidR="0045407B" w:rsidRPr="0045407B" w:rsidRDefault="0045407B" w:rsidP="002109E2">
      <w:pPr>
        <w:tabs>
          <w:tab w:val="left" w:pos="288"/>
          <w:tab w:val="left" w:pos="634"/>
        </w:tabs>
      </w:pPr>
      <w:r w:rsidRPr="0045407B">
        <w:t>UCMJ</w:t>
      </w:r>
      <w:r w:rsidRPr="0045407B">
        <w:tab/>
      </w:r>
      <w:r w:rsidR="002109E2">
        <w:tab/>
      </w:r>
      <w:r w:rsidRPr="0045407B">
        <w:t>Uniform Code of Military Justice</w:t>
      </w:r>
    </w:p>
    <w:sectPr w:rsidR="0045407B" w:rsidRPr="0045407B" w:rsidSect="001B40BD">
      <w:headerReference w:type="even" r:id="rId15"/>
      <w:headerReference w:type="default" r:id="rId16"/>
      <w:footerReference w:type="even" r:id="rId17"/>
      <w:footerReference w:type="default" r:id="rId18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3E52" w14:textId="77777777" w:rsidR="00D54EC9" w:rsidRDefault="00D54EC9">
      <w:r>
        <w:separator/>
      </w:r>
    </w:p>
  </w:endnote>
  <w:endnote w:type="continuationSeparator" w:id="0">
    <w:p w14:paraId="1D866E1D" w14:textId="77777777" w:rsidR="00D54EC9" w:rsidRDefault="00D54EC9">
      <w:r>
        <w:continuationSeparator/>
      </w:r>
    </w:p>
  </w:endnote>
  <w:endnote w:type="continuationNotice" w:id="1">
    <w:p w14:paraId="77D75E1D" w14:textId="77777777" w:rsidR="00D54EC9" w:rsidRDefault="00D54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E8C6" w14:textId="77777777" w:rsidR="00667DCB" w:rsidRDefault="00667DCB" w:rsidP="009667F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B6A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D664" w14:textId="77777777" w:rsidR="00667DCB" w:rsidRDefault="00667DCB" w:rsidP="009667F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B6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EE37" w14:textId="77777777" w:rsidR="00D54EC9" w:rsidRDefault="00D54EC9">
      <w:r>
        <w:separator/>
      </w:r>
    </w:p>
  </w:footnote>
  <w:footnote w:type="continuationSeparator" w:id="0">
    <w:p w14:paraId="289BD3C6" w14:textId="77777777" w:rsidR="00D54EC9" w:rsidRDefault="00D54EC9">
      <w:r>
        <w:continuationSeparator/>
      </w:r>
    </w:p>
  </w:footnote>
  <w:footnote w:type="continuationNotice" w:id="1">
    <w:p w14:paraId="23355658" w14:textId="77777777" w:rsidR="00D54EC9" w:rsidRDefault="00D54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4D02" w14:textId="77777777" w:rsidR="00667DCB" w:rsidRDefault="00667DCB">
    <w:pPr>
      <w:pStyle w:val="Header"/>
    </w:pPr>
    <w:r>
      <w:t>TRADOC Regulation 27-2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37643" w14:textId="77777777" w:rsidR="00667DCB" w:rsidRDefault="00667DCB" w:rsidP="001B40BD">
    <w:pPr>
      <w:pStyle w:val="Header"/>
      <w:jc w:val="right"/>
    </w:pPr>
    <w:r>
      <w:t>TRADOC Regulation 27-2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C8A"/>
    <w:multiLevelType w:val="hybridMultilevel"/>
    <w:tmpl w:val="250C9662"/>
    <w:lvl w:ilvl="0" w:tplc="B694F9A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773E51"/>
    <w:multiLevelType w:val="hybridMultilevel"/>
    <w:tmpl w:val="1A0451A2"/>
    <w:lvl w:ilvl="0" w:tplc="FFC84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44745"/>
    <w:multiLevelType w:val="hybridMultilevel"/>
    <w:tmpl w:val="D5E07EF4"/>
    <w:lvl w:ilvl="0" w:tplc="667889E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C590EF8"/>
    <w:multiLevelType w:val="hybridMultilevel"/>
    <w:tmpl w:val="2F4A8A58"/>
    <w:lvl w:ilvl="0" w:tplc="BF800C3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F0B2A25"/>
    <w:multiLevelType w:val="hybridMultilevel"/>
    <w:tmpl w:val="4D68215C"/>
    <w:lvl w:ilvl="0" w:tplc="B07871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046F1B"/>
    <w:multiLevelType w:val="hybridMultilevel"/>
    <w:tmpl w:val="61883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0476"/>
    <w:multiLevelType w:val="hybridMultilevel"/>
    <w:tmpl w:val="04B27D08"/>
    <w:lvl w:ilvl="0" w:tplc="5538C96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B"/>
    <w:rsid w:val="00001026"/>
    <w:rsid w:val="00002E74"/>
    <w:rsid w:val="000040B5"/>
    <w:rsid w:val="000067A6"/>
    <w:rsid w:val="00010708"/>
    <w:rsid w:val="0001098A"/>
    <w:rsid w:val="0001239C"/>
    <w:rsid w:val="00014121"/>
    <w:rsid w:val="00014472"/>
    <w:rsid w:val="00014F78"/>
    <w:rsid w:val="00017472"/>
    <w:rsid w:val="00017F6A"/>
    <w:rsid w:val="00026304"/>
    <w:rsid w:val="00030B81"/>
    <w:rsid w:val="00040934"/>
    <w:rsid w:val="000413FC"/>
    <w:rsid w:val="00041721"/>
    <w:rsid w:val="00044AE9"/>
    <w:rsid w:val="00056BCD"/>
    <w:rsid w:val="000572A0"/>
    <w:rsid w:val="000577D0"/>
    <w:rsid w:val="0006196A"/>
    <w:rsid w:val="00062244"/>
    <w:rsid w:val="00063D20"/>
    <w:rsid w:val="00063E7D"/>
    <w:rsid w:val="0006781E"/>
    <w:rsid w:val="0007007F"/>
    <w:rsid w:val="00070B0E"/>
    <w:rsid w:val="00070D7A"/>
    <w:rsid w:val="000724B4"/>
    <w:rsid w:val="00072E40"/>
    <w:rsid w:val="00074825"/>
    <w:rsid w:val="00077158"/>
    <w:rsid w:val="00080301"/>
    <w:rsid w:val="000817D5"/>
    <w:rsid w:val="00082174"/>
    <w:rsid w:val="00082C8E"/>
    <w:rsid w:val="0008318F"/>
    <w:rsid w:val="0008335E"/>
    <w:rsid w:val="00087659"/>
    <w:rsid w:val="00092A32"/>
    <w:rsid w:val="000A1A73"/>
    <w:rsid w:val="000A429F"/>
    <w:rsid w:val="000A5248"/>
    <w:rsid w:val="000A540C"/>
    <w:rsid w:val="000A583D"/>
    <w:rsid w:val="000A715B"/>
    <w:rsid w:val="000B07D6"/>
    <w:rsid w:val="000C2B32"/>
    <w:rsid w:val="000C4217"/>
    <w:rsid w:val="000C64E6"/>
    <w:rsid w:val="000C7F34"/>
    <w:rsid w:val="000D13CB"/>
    <w:rsid w:val="000D31AB"/>
    <w:rsid w:val="000D3933"/>
    <w:rsid w:val="000D5703"/>
    <w:rsid w:val="000E1AFC"/>
    <w:rsid w:val="000E1C0E"/>
    <w:rsid w:val="000E2B42"/>
    <w:rsid w:val="000E442E"/>
    <w:rsid w:val="000E4869"/>
    <w:rsid w:val="000F10D9"/>
    <w:rsid w:val="000F3689"/>
    <w:rsid w:val="000F4BA9"/>
    <w:rsid w:val="000F77EB"/>
    <w:rsid w:val="00104E1D"/>
    <w:rsid w:val="001051B0"/>
    <w:rsid w:val="001061B1"/>
    <w:rsid w:val="00110771"/>
    <w:rsid w:val="001255AD"/>
    <w:rsid w:val="0012746D"/>
    <w:rsid w:val="00127F87"/>
    <w:rsid w:val="00130FF3"/>
    <w:rsid w:val="00135318"/>
    <w:rsid w:val="00136F6F"/>
    <w:rsid w:val="0014157B"/>
    <w:rsid w:val="00141B2A"/>
    <w:rsid w:val="0014278D"/>
    <w:rsid w:val="001463E5"/>
    <w:rsid w:val="00147521"/>
    <w:rsid w:val="00150B92"/>
    <w:rsid w:val="001512EF"/>
    <w:rsid w:val="001532E9"/>
    <w:rsid w:val="001561F9"/>
    <w:rsid w:val="00162542"/>
    <w:rsid w:val="00164747"/>
    <w:rsid w:val="001662A5"/>
    <w:rsid w:val="00172223"/>
    <w:rsid w:val="001738CB"/>
    <w:rsid w:val="001742C0"/>
    <w:rsid w:val="0017505A"/>
    <w:rsid w:val="00177546"/>
    <w:rsid w:val="001833E9"/>
    <w:rsid w:val="00184AA0"/>
    <w:rsid w:val="00185830"/>
    <w:rsid w:val="00186561"/>
    <w:rsid w:val="00191643"/>
    <w:rsid w:val="0019247D"/>
    <w:rsid w:val="001924F5"/>
    <w:rsid w:val="00194846"/>
    <w:rsid w:val="00194AAD"/>
    <w:rsid w:val="00194B91"/>
    <w:rsid w:val="001967CB"/>
    <w:rsid w:val="001967E7"/>
    <w:rsid w:val="001A36AD"/>
    <w:rsid w:val="001A77F7"/>
    <w:rsid w:val="001B1298"/>
    <w:rsid w:val="001B19B4"/>
    <w:rsid w:val="001B3BF7"/>
    <w:rsid w:val="001B40BD"/>
    <w:rsid w:val="001B54C7"/>
    <w:rsid w:val="001B6230"/>
    <w:rsid w:val="001C1246"/>
    <w:rsid w:val="001C52EE"/>
    <w:rsid w:val="001C6204"/>
    <w:rsid w:val="001C6BD7"/>
    <w:rsid w:val="001C7852"/>
    <w:rsid w:val="001C7BAC"/>
    <w:rsid w:val="001D0A8E"/>
    <w:rsid w:val="001D0ED9"/>
    <w:rsid w:val="001D3707"/>
    <w:rsid w:val="001E0668"/>
    <w:rsid w:val="001E086F"/>
    <w:rsid w:val="001E3481"/>
    <w:rsid w:val="001E379F"/>
    <w:rsid w:val="001E5745"/>
    <w:rsid w:val="001E5BC5"/>
    <w:rsid w:val="001E636A"/>
    <w:rsid w:val="001F0253"/>
    <w:rsid w:val="001F2F6E"/>
    <w:rsid w:val="001F4570"/>
    <w:rsid w:val="001F56D4"/>
    <w:rsid w:val="001F7137"/>
    <w:rsid w:val="00205555"/>
    <w:rsid w:val="00205F7E"/>
    <w:rsid w:val="00206906"/>
    <w:rsid w:val="0020768B"/>
    <w:rsid w:val="00210619"/>
    <w:rsid w:val="002109E2"/>
    <w:rsid w:val="00212560"/>
    <w:rsid w:val="002126C5"/>
    <w:rsid w:val="00212B38"/>
    <w:rsid w:val="00216375"/>
    <w:rsid w:val="00217DC5"/>
    <w:rsid w:val="002201D1"/>
    <w:rsid w:val="00222B1F"/>
    <w:rsid w:val="00222BA4"/>
    <w:rsid w:val="00224394"/>
    <w:rsid w:val="00224A53"/>
    <w:rsid w:val="00227991"/>
    <w:rsid w:val="00232FF1"/>
    <w:rsid w:val="00233BB6"/>
    <w:rsid w:val="002350BA"/>
    <w:rsid w:val="00236853"/>
    <w:rsid w:val="002372BE"/>
    <w:rsid w:val="002442BC"/>
    <w:rsid w:val="00244B47"/>
    <w:rsid w:val="0025030D"/>
    <w:rsid w:val="00253747"/>
    <w:rsid w:val="00256723"/>
    <w:rsid w:val="002577E3"/>
    <w:rsid w:val="00257804"/>
    <w:rsid w:val="00257B07"/>
    <w:rsid w:val="0026092E"/>
    <w:rsid w:val="00260E3C"/>
    <w:rsid w:val="00262BC0"/>
    <w:rsid w:val="00266FC3"/>
    <w:rsid w:val="00270976"/>
    <w:rsid w:val="002735B0"/>
    <w:rsid w:val="00274999"/>
    <w:rsid w:val="00274CE8"/>
    <w:rsid w:val="00276C40"/>
    <w:rsid w:val="00276C9F"/>
    <w:rsid w:val="0027742E"/>
    <w:rsid w:val="00283466"/>
    <w:rsid w:val="00283D2E"/>
    <w:rsid w:val="00287C37"/>
    <w:rsid w:val="002956EC"/>
    <w:rsid w:val="00295BD6"/>
    <w:rsid w:val="00296820"/>
    <w:rsid w:val="002A18B4"/>
    <w:rsid w:val="002A3EE1"/>
    <w:rsid w:val="002A4259"/>
    <w:rsid w:val="002A54B1"/>
    <w:rsid w:val="002B49AA"/>
    <w:rsid w:val="002C02E2"/>
    <w:rsid w:val="002C0E17"/>
    <w:rsid w:val="002C3969"/>
    <w:rsid w:val="002C7109"/>
    <w:rsid w:val="002D034B"/>
    <w:rsid w:val="002D1508"/>
    <w:rsid w:val="002D1CAF"/>
    <w:rsid w:val="002D3B07"/>
    <w:rsid w:val="002D4140"/>
    <w:rsid w:val="002D7AAD"/>
    <w:rsid w:val="002D7F5A"/>
    <w:rsid w:val="002E33F6"/>
    <w:rsid w:val="002E4005"/>
    <w:rsid w:val="002E57BA"/>
    <w:rsid w:val="002E7DF4"/>
    <w:rsid w:val="002F0566"/>
    <w:rsid w:val="002F6ADB"/>
    <w:rsid w:val="003002EF"/>
    <w:rsid w:val="00300484"/>
    <w:rsid w:val="00300893"/>
    <w:rsid w:val="00301075"/>
    <w:rsid w:val="00303BDB"/>
    <w:rsid w:val="00310E36"/>
    <w:rsid w:val="00312022"/>
    <w:rsid w:val="0031246B"/>
    <w:rsid w:val="00313EEF"/>
    <w:rsid w:val="00313FA9"/>
    <w:rsid w:val="00314881"/>
    <w:rsid w:val="00320171"/>
    <w:rsid w:val="003232D5"/>
    <w:rsid w:val="00324427"/>
    <w:rsid w:val="00325E89"/>
    <w:rsid w:val="00327BEB"/>
    <w:rsid w:val="003306FB"/>
    <w:rsid w:val="00332146"/>
    <w:rsid w:val="0033743E"/>
    <w:rsid w:val="003442AD"/>
    <w:rsid w:val="003449F2"/>
    <w:rsid w:val="003459B1"/>
    <w:rsid w:val="0034665C"/>
    <w:rsid w:val="00346FF1"/>
    <w:rsid w:val="00347CFC"/>
    <w:rsid w:val="00351C4B"/>
    <w:rsid w:val="00352FFA"/>
    <w:rsid w:val="00354609"/>
    <w:rsid w:val="00362489"/>
    <w:rsid w:val="00367FC2"/>
    <w:rsid w:val="00370474"/>
    <w:rsid w:val="00371BBD"/>
    <w:rsid w:val="00375839"/>
    <w:rsid w:val="00377AA2"/>
    <w:rsid w:val="00380D9F"/>
    <w:rsid w:val="003827D1"/>
    <w:rsid w:val="00382C4A"/>
    <w:rsid w:val="003854E4"/>
    <w:rsid w:val="00386461"/>
    <w:rsid w:val="00386A21"/>
    <w:rsid w:val="00392379"/>
    <w:rsid w:val="00396167"/>
    <w:rsid w:val="003A0EBD"/>
    <w:rsid w:val="003A4D59"/>
    <w:rsid w:val="003B341B"/>
    <w:rsid w:val="003B38D2"/>
    <w:rsid w:val="003B739A"/>
    <w:rsid w:val="003B7925"/>
    <w:rsid w:val="003C420F"/>
    <w:rsid w:val="003C43AC"/>
    <w:rsid w:val="003C5CD3"/>
    <w:rsid w:val="003D3909"/>
    <w:rsid w:val="003D5281"/>
    <w:rsid w:val="003D652A"/>
    <w:rsid w:val="003D71FA"/>
    <w:rsid w:val="003E3510"/>
    <w:rsid w:val="003E5138"/>
    <w:rsid w:val="003F1CAE"/>
    <w:rsid w:val="003F224A"/>
    <w:rsid w:val="003F3851"/>
    <w:rsid w:val="003F51B5"/>
    <w:rsid w:val="003F6863"/>
    <w:rsid w:val="004027D8"/>
    <w:rsid w:val="00404C14"/>
    <w:rsid w:val="004122BB"/>
    <w:rsid w:val="00417FB1"/>
    <w:rsid w:val="00420AF5"/>
    <w:rsid w:val="0042491B"/>
    <w:rsid w:val="004252C2"/>
    <w:rsid w:val="0042614D"/>
    <w:rsid w:val="00426E2E"/>
    <w:rsid w:val="0042731A"/>
    <w:rsid w:val="00427FE4"/>
    <w:rsid w:val="00430C12"/>
    <w:rsid w:val="0043746F"/>
    <w:rsid w:val="00437A19"/>
    <w:rsid w:val="00442F72"/>
    <w:rsid w:val="00443899"/>
    <w:rsid w:val="00446237"/>
    <w:rsid w:val="00451268"/>
    <w:rsid w:val="0045147D"/>
    <w:rsid w:val="00452673"/>
    <w:rsid w:val="00452BF5"/>
    <w:rsid w:val="0045407B"/>
    <w:rsid w:val="00454627"/>
    <w:rsid w:val="00457304"/>
    <w:rsid w:val="00462CD8"/>
    <w:rsid w:val="004633C7"/>
    <w:rsid w:val="004652B6"/>
    <w:rsid w:val="00466FA8"/>
    <w:rsid w:val="00472F61"/>
    <w:rsid w:val="0047311D"/>
    <w:rsid w:val="00476672"/>
    <w:rsid w:val="0048511E"/>
    <w:rsid w:val="004866C3"/>
    <w:rsid w:val="00490E63"/>
    <w:rsid w:val="004917CE"/>
    <w:rsid w:val="00491C34"/>
    <w:rsid w:val="00492FCD"/>
    <w:rsid w:val="00496FD7"/>
    <w:rsid w:val="004A03B6"/>
    <w:rsid w:val="004A0D69"/>
    <w:rsid w:val="004A3BD8"/>
    <w:rsid w:val="004A5FB3"/>
    <w:rsid w:val="004A789C"/>
    <w:rsid w:val="004B0249"/>
    <w:rsid w:val="004B06FA"/>
    <w:rsid w:val="004B5D19"/>
    <w:rsid w:val="004B68B1"/>
    <w:rsid w:val="004B7732"/>
    <w:rsid w:val="004C0B6B"/>
    <w:rsid w:val="004C1C16"/>
    <w:rsid w:val="004D0BCC"/>
    <w:rsid w:val="004E16A0"/>
    <w:rsid w:val="004E2812"/>
    <w:rsid w:val="004E4B3F"/>
    <w:rsid w:val="004E4EC8"/>
    <w:rsid w:val="004E6575"/>
    <w:rsid w:val="004F0CC7"/>
    <w:rsid w:val="004F1032"/>
    <w:rsid w:val="004F32CF"/>
    <w:rsid w:val="004F78CE"/>
    <w:rsid w:val="0050080E"/>
    <w:rsid w:val="0050313C"/>
    <w:rsid w:val="00506083"/>
    <w:rsid w:val="00510D57"/>
    <w:rsid w:val="00512BE1"/>
    <w:rsid w:val="00517406"/>
    <w:rsid w:val="00521CAC"/>
    <w:rsid w:val="00524068"/>
    <w:rsid w:val="005255C7"/>
    <w:rsid w:val="00527806"/>
    <w:rsid w:val="00527911"/>
    <w:rsid w:val="00531193"/>
    <w:rsid w:val="005328BA"/>
    <w:rsid w:val="00532C92"/>
    <w:rsid w:val="00535808"/>
    <w:rsid w:val="00537E37"/>
    <w:rsid w:val="0054098C"/>
    <w:rsid w:val="00542D47"/>
    <w:rsid w:val="00542F83"/>
    <w:rsid w:val="00544DF6"/>
    <w:rsid w:val="00545172"/>
    <w:rsid w:val="005457BD"/>
    <w:rsid w:val="00545B9B"/>
    <w:rsid w:val="00553653"/>
    <w:rsid w:val="00556643"/>
    <w:rsid w:val="0056039B"/>
    <w:rsid w:val="0056281F"/>
    <w:rsid w:val="00563F79"/>
    <w:rsid w:val="0056489F"/>
    <w:rsid w:val="0056793D"/>
    <w:rsid w:val="00571F28"/>
    <w:rsid w:val="00573164"/>
    <w:rsid w:val="00573645"/>
    <w:rsid w:val="00577C8F"/>
    <w:rsid w:val="00580146"/>
    <w:rsid w:val="005826B8"/>
    <w:rsid w:val="0058366C"/>
    <w:rsid w:val="005870BC"/>
    <w:rsid w:val="005905F9"/>
    <w:rsid w:val="0059350B"/>
    <w:rsid w:val="00594187"/>
    <w:rsid w:val="00594932"/>
    <w:rsid w:val="005964AA"/>
    <w:rsid w:val="0059666D"/>
    <w:rsid w:val="0059676F"/>
    <w:rsid w:val="00596A80"/>
    <w:rsid w:val="005A05B6"/>
    <w:rsid w:val="005A0D76"/>
    <w:rsid w:val="005A3D8C"/>
    <w:rsid w:val="005A56CD"/>
    <w:rsid w:val="005B00C7"/>
    <w:rsid w:val="005B0990"/>
    <w:rsid w:val="005B1B0F"/>
    <w:rsid w:val="005B1CEB"/>
    <w:rsid w:val="005B4CC6"/>
    <w:rsid w:val="005B755F"/>
    <w:rsid w:val="005C1367"/>
    <w:rsid w:val="005C3B8A"/>
    <w:rsid w:val="005C6041"/>
    <w:rsid w:val="005C6991"/>
    <w:rsid w:val="005C7560"/>
    <w:rsid w:val="005E1A13"/>
    <w:rsid w:val="005E4385"/>
    <w:rsid w:val="005F0433"/>
    <w:rsid w:val="005F56CF"/>
    <w:rsid w:val="005F6241"/>
    <w:rsid w:val="005F6960"/>
    <w:rsid w:val="00600769"/>
    <w:rsid w:val="00602707"/>
    <w:rsid w:val="00602F20"/>
    <w:rsid w:val="0060425E"/>
    <w:rsid w:val="00604C34"/>
    <w:rsid w:val="00605BE6"/>
    <w:rsid w:val="00606339"/>
    <w:rsid w:val="00613F76"/>
    <w:rsid w:val="00615125"/>
    <w:rsid w:val="006163CE"/>
    <w:rsid w:val="00624924"/>
    <w:rsid w:val="00631101"/>
    <w:rsid w:val="00631B86"/>
    <w:rsid w:val="006352D2"/>
    <w:rsid w:val="00643954"/>
    <w:rsid w:val="006446C6"/>
    <w:rsid w:val="006469C1"/>
    <w:rsid w:val="00646AFA"/>
    <w:rsid w:val="0065113C"/>
    <w:rsid w:val="00651406"/>
    <w:rsid w:val="00652051"/>
    <w:rsid w:val="00661EFC"/>
    <w:rsid w:val="00665F39"/>
    <w:rsid w:val="00667DCB"/>
    <w:rsid w:val="00671650"/>
    <w:rsid w:val="006720AE"/>
    <w:rsid w:val="00672147"/>
    <w:rsid w:val="00672B2B"/>
    <w:rsid w:val="00673FED"/>
    <w:rsid w:val="00676125"/>
    <w:rsid w:val="00681084"/>
    <w:rsid w:val="00683149"/>
    <w:rsid w:val="00684B64"/>
    <w:rsid w:val="0068565E"/>
    <w:rsid w:val="00685AF6"/>
    <w:rsid w:val="0069140D"/>
    <w:rsid w:val="00693228"/>
    <w:rsid w:val="00696201"/>
    <w:rsid w:val="006964FF"/>
    <w:rsid w:val="00696F9F"/>
    <w:rsid w:val="006A02E9"/>
    <w:rsid w:val="006A2DE5"/>
    <w:rsid w:val="006B027B"/>
    <w:rsid w:val="006B3E1E"/>
    <w:rsid w:val="006B40AD"/>
    <w:rsid w:val="006B47EF"/>
    <w:rsid w:val="006B68AA"/>
    <w:rsid w:val="006C0254"/>
    <w:rsid w:val="006C0539"/>
    <w:rsid w:val="006C1AE3"/>
    <w:rsid w:val="006C2E7D"/>
    <w:rsid w:val="006D0B6F"/>
    <w:rsid w:val="006D43B2"/>
    <w:rsid w:val="006D49AF"/>
    <w:rsid w:val="006D7F8A"/>
    <w:rsid w:val="006E1104"/>
    <w:rsid w:val="006E1A12"/>
    <w:rsid w:val="006E232E"/>
    <w:rsid w:val="006E322A"/>
    <w:rsid w:val="006E326C"/>
    <w:rsid w:val="006E3AD4"/>
    <w:rsid w:val="006E3D72"/>
    <w:rsid w:val="006E4F6B"/>
    <w:rsid w:val="006F17E4"/>
    <w:rsid w:val="006F3B18"/>
    <w:rsid w:val="006F485F"/>
    <w:rsid w:val="006F5EFD"/>
    <w:rsid w:val="006F79D3"/>
    <w:rsid w:val="0070096B"/>
    <w:rsid w:val="00702975"/>
    <w:rsid w:val="00702EA5"/>
    <w:rsid w:val="00710414"/>
    <w:rsid w:val="007137B6"/>
    <w:rsid w:val="007203BC"/>
    <w:rsid w:val="007203CB"/>
    <w:rsid w:val="007205C5"/>
    <w:rsid w:val="00721191"/>
    <w:rsid w:val="00722CC8"/>
    <w:rsid w:val="007270EC"/>
    <w:rsid w:val="007338BA"/>
    <w:rsid w:val="0074022C"/>
    <w:rsid w:val="00743619"/>
    <w:rsid w:val="00743882"/>
    <w:rsid w:val="0074551B"/>
    <w:rsid w:val="007457D0"/>
    <w:rsid w:val="0074668B"/>
    <w:rsid w:val="00747F9D"/>
    <w:rsid w:val="0075468E"/>
    <w:rsid w:val="007568DD"/>
    <w:rsid w:val="007613EF"/>
    <w:rsid w:val="00762CD5"/>
    <w:rsid w:val="00764628"/>
    <w:rsid w:val="00766743"/>
    <w:rsid w:val="007676A5"/>
    <w:rsid w:val="0077098E"/>
    <w:rsid w:val="0077164A"/>
    <w:rsid w:val="00772E36"/>
    <w:rsid w:val="007737E8"/>
    <w:rsid w:val="007759CD"/>
    <w:rsid w:val="007771D0"/>
    <w:rsid w:val="007773B5"/>
    <w:rsid w:val="007776D8"/>
    <w:rsid w:val="007836E9"/>
    <w:rsid w:val="00784866"/>
    <w:rsid w:val="00785134"/>
    <w:rsid w:val="00785769"/>
    <w:rsid w:val="0079047A"/>
    <w:rsid w:val="007914F4"/>
    <w:rsid w:val="00794B76"/>
    <w:rsid w:val="00795348"/>
    <w:rsid w:val="00795636"/>
    <w:rsid w:val="00797853"/>
    <w:rsid w:val="007A2BD6"/>
    <w:rsid w:val="007A2F67"/>
    <w:rsid w:val="007A6C94"/>
    <w:rsid w:val="007A7864"/>
    <w:rsid w:val="007A7960"/>
    <w:rsid w:val="007B1A73"/>
    <w:rsid w:val="007B28EC"/>
    <w:rsid w:val="007B4D24"/>
    <w:rsid w:val="007B4D34"/>
    <w:rsid w:val="007B5980"/>
    <w:rsid w:val="007B68AD"/>
    <w:rsid w:val="007B6DDD"/>
    <w:rsid w:val="007C0217"/>
    <w:rsid w:val="007C2D74"/>
    <w:rsid w:val="007C527A"/>
    <w:rsid w:val="007C55F7"/>
    <w:rsid w:val="007C699F"/>
    <w:rsid w:val="007D1B47"/>
    <w:rsid w:val="007D244E"/>
    <w:rsid w:val="007D6893"/>
    <w:rsid w:val="007E02A6"/>
    <w:rsid w:val="007F2892"/>
    <w:rsid w:val="007F352D"/>
    <w:rsid w:val="007F68A1"/>
    <w:rsid w:val="007F696F"/>
    <w:rsid w:val="0080214A"/>
    <w:rsid w:val="00802A16"/>
    <w:rsid w:val="00804D41"/>
    <w:rsid w:val="008050D7"/>
    <w:rsid w:val="0080748A"/>
    <w:rsid w:val="00810A77"/>
    <w:rsid w:val="0081481F"/>
    <w:rsid w:val="00815550"/>
    <w:rsid w:val="00821028"/>
    <w:rsid w:val="00822831"/>
    <w:rsid w:val="00825AF8"/>
    <w:rsid w:val="00834E0C"/>
    <w:rsid w:val="00835406"/>
    <w:rsid w:val="00835C8D"/>
    <w:rsid w:val="00843EC7"/>
    <w:rsid w:val="00846303"/>
    <w:rsid w:val="0084691E"/>
    <w:rsid w:val="00850E9E"/>
    <w:rsid w:val="00850FEF"/>
    <w:rsid w:val="008512E7"/>
    <w:rsid w:val="00852A26"/>
    <w:rsid w:val="00853A54"/>
    <w:rsid w:val="00855C8D"/>
    <w:rsid w:val="00856468"/>
    <w:rsid w:val="00856868"/>
    <w:rsid w:val="00857945"/>
    <w:rsid w:val="00861719"/>
    <w:rsid w:val="008632C3"/>
    <w:rsid w:val="00867F96"/>
    <w:rsid w:val="008756BA"/>
    <w:rsid w:val="008815EA"/>
    <w:rsid w:val="00881607"/>
    <w:rsid w:val="00881CD1"/>
    <w:rsid w:val="00882AC3"/>
    <w:rsid w:val="00886BDE"/>
    <w:rsid w:val="0089086B"/>
    <w:rsid w:val="00890D03"/>
    <w:rsid w:val="008937F9"/>
    <w:rsid w:val="0089715D"/>
    <w:rsid w:val="008A1977"/>
    <w:rsid w:val="008A3D6E"/>
    <w:rsid w:val="008A438C"/>
    <w:rsid w:val="008B1791"/>
    <w:rsid w:val="008B187D"/>
    <w:rsid w:val="008B6D9D"/>
    <w:rsid w:val="008B7987"/>
    <w:rsid w:val="008C0EB3"/>
    <w:rsid w:val="008C4AB6"/>
    <w:rsid w:val="008C4C95"/>
    <w:rsid w:val="008C4F82"/>
    <w:rsid w:val="008C57BE"/>
    <w:rsid w:val="008C6F2D"/>
    <w:rsid w:val="008C7461"/>
    <w:rsid w:val="008D0BE0"/>
    <w:rsid w:val="008D18A4"/>
    <w:rsid w:val="008E1C1F"/>
    <w:rsid w:val="008E3527"/>
    <w:rsid w:val="008E3E8D"/>
    <w:rsid w:val="008E4156"/>
    <w:rsid w:val="008E4898"/>
    <w:rsid w:val="008E6F71"/>
    <w:rsid w:val="008E79A9"/>
    <w:rsid w:val="008F0D58"/>
    <w:rsid w:val="008F4447"/>
    <w:rsid w:val="008F5D8A"/>
    <w:rsid w:val="00904927"/>
    <w:rsid w:val="00905061"/>
    <w:rsid w:val="009060F8"/>
    <w:rsid w:val="0090648C"/>
    <w:rsid w:val="00911E73"/>
    <w:rsid w:val="009121D8"/>
    <w:rsid w:val="0091408F"/>
    <w:rsid w:val="00914D7B"/>
    <w:rsid w:val="00917470"/>
    <w:rsid w:val="009210BA"/>
    <w:rsid w:val="0092168D"/>
    <w:rsid w:val="00923275"/>
    <w:rsid w:val="00926C7F"/>
    <w:rsid w:val="00934476"/>
    <w:rsid w:val="0093448D"/>
    <w:rsid w:val="00935E77"/>
    <w:rsid w:val="00936439"/>
    <w:rsid w:val="009401DE"/>
    <w:rsid w:val="00944028"/>
    <w:rsid w:val="00944458"/>
    <w:rsid w:val="0094629F"/>
    <w:rsid w:val="00946574"/>
    <w:rsid w:val="00946602"/>
    <w:rsid w:val="0095167A"/>
    <w:rsid w:val="009526C9"/>
    <w:rsid w:val="00955DED"/>
    <w:rsid w:val="00962B23"/>
    <w:rsid w:val="00963328"/>
    <w:rsid w:val="0096599B"/>
    <w:rsid w:val="009667FB"/>
    <w:rsid w:val="0096761B"/>
    <w:rsid w:val="009679AB"/>
    <w:rsid w:val="00970108"/>
    <w:rsid w:val="0097099A"/>
    <w:rsid w:val="009714AD"/>
    <w:rsid w:val="00971E37"/>
    <w:rsid w:val="0097265B"/>
    <w:rsid w:val="00973F01"/>
    <w:rsid w:val="00980FFC"/>
    <w:rsid w:val="0098163C"/>
    <w:rsid w:val="0098681C"/>
    <w:rsid w:val="0098754B"/>
    <w:rsid w:val="0099188A"/>
    <w:rsid w:val="00994268"/>
    <w:rsid w:val="0099441A"/>
    <w:rsid w:val="00996B12"/>
    <w:rsid w:val="009970F7"/>
    <w:rsid w:val="009973B1"/>
    <w:rsid w:val="009A2042"/>
    <w:rsid w:val="009A611E"/>
    <w:rsid w:val="009B036A"/>
    <w:rsid w:val="009B29E7"/>
    <w:rsid w:val="009B536F"/>
    <w:rsid w:val="009B5DB4"/>
    <w:rsid w:val="009B6E5F"/>
    <w:rsid w:val="009B7D92"/>
    <w:rsid w:val="009C557A"/>
    <w:rsid w:val="009C71B2"/>
    <w:rsid w:val="009C7450"/>
    <w:rsid w:val="009C7ABE"/>
    <w:rsid w:val="009D0AC8"/>
    <w:rsid w:val="009D3297"/>
    <w:rsid w:val="009D4DCC"/>
    <w:rsid w:val="009E316F"/>
    <w:rsid w:val="009E31ED"/>
    <w:rsid w:val="009E646B"/>
    <w:rsid w:val="009F3D0C"/>
    <w:rsid w:val="009F429B"/>
    <w:rsid w:val="009F56F9"/>
    <w:rsid w:val="009F6091"/>
    <w:rsid w:val="009F716F"/>
    <w:rsid w:val="00A00488"/>
    <w:rsid w:val="00A0261C"/>
    <w:rsid w:val="00A02948"/>
    <w:rsid w:val="00A03B6A"/>
    <w:rsid w:val="00A0436A"/>
    <w:rsid w:val="00A053CC"/>
    <w:rsid w:val="00A06D2D"/>
    <w:rsid w:val="00A10C44"/>
    <w:rsid w:val="00A11BBC"/>
    <w:rsid w:val="00A125E2"/>
    <w:rsid w:val="00A14720"/>
    <w:rsid w:val="00A16547"/>
    <w:rsid w:val="00A2003B"/>
    <w:rsid w:val="00A2044A"/>
    <w:rsid w:val="00A23453"/>
    <w:rsid w:val="00A25A07"/>
    <w:rsid w:val="00A26C4D"/>
    <w:rsid w:val="00A30058"/>
    <w:rsid w:val="00A345AA"/>
    <w:rsid w:val="00A40745"/>
    <w:rsid w:val="00A40BDE"/>
    <w:rsid w:val="00A441EF"/>
    <w:rsid w:val="00A44F39"/>
    <w:rsid w:val="00A5038D"/>
    <w:rsid w:val="00A5086F"/>
    <w:rsid w:val="00A5284C"/>
    <w:rsid w:val="00A5287B"/>
    <w:rsid w:val="00A53ECB"/>
    <w:rsid w:val="00A53EF2"/>
    <w:rsid w:val="00A569AC"/>
    <w:rsid w:val="00A56C36"/>
    <w:rsid w:val="00A609FD"/>
    <w:rsid w:val="00A61BEA"/>
    <w:rsid w:val="00A645A6"/>
    <w:rsid w:val="00A737C9"/>
    <w:rsid w:val="00A751C0"/>
    <w:rsid w:val="00A759E0"/>
    <w:rsid w:val="00A7616B"/>
    <w:rsid w:val="00A77FEF"/>
    <w:rsid w:val="00A81DE3"/>
    <w:rsid w:val="00A81FB6"/>
    <w:rsid w:val="00A8456D"/>
    <w:rsid w:val="00A85BA0"/>
    <w:rsid w:val="00A90382"/>
    <w:rsid w:val="00A9162D"/>
    <w:rsid w:val="00A91667"/>
    <w:rsid w:val="00A92856"/>
    <w:rsid w:val="00A97101"/>
    <w:rsid w:val="00AA4393"/>
    <w:rsid w:val="00AA526E"/>
    <w:rsid w:val="00AA527B"/>
    <w:rsid w:val="00AA7E13"/>
    <w:rsid w:val="00AB18D6"/>
    <w:rsid w:val="00AB41F4"/>
    <w:rsid w:val="00AB4FE4"/>
    <w:rsid w:val="00AB5DC1"/>
    <w:rsid w:val="00AC57F0"/>
    <w:rsid w:val="00AD0C20"/>
    <w:rsid w:val="00AD598A"/>
    <w:rsid w:val="00AD5CE7"/>
    <w:rsid w:val="00AE132D"/>
    <w:rsid w:val="00AE2418"/>
    <w:rsid w:val="00AE27B9"/>
    <w:rsid w:val="00AE4984"/>
    <w:rsid w:val="00AE4B13"/>
    <w:rsid w:val="00AE57C3"/>
    <w:rsid w:val="00AE6E5B"/>
    <w:rsid w:val="00AF20A8"/>
    <w:rsid w:val="00AF28C8"/>
    <w:rsid w:val="00AF3607"/>
    <w:rsid w:val="00AF7EB4"/>
    <w:rsid w:val="00B00BC3"/>
    <w:rsid w:val="00B03595"/>
    <w:rsid w:val="00B04C8A"/>
    <w:rsid w:val="00B0559A"/>
    <w:rsid w:val="00B061BC"/>
    <w:rsid w:val="00B07226"/>
    <w:rsid w:val="00B076B3"/>
    <w:rsid w:val="00B13DD7"/>
    <w:rsid w:val="00B1668D"/>
    <w:rsid w:val="00B17A06"/>
    <w:rsid w:val="00B17F6F"/>
    <w:rsid w:val="00B221F0"/>
    <w:rsid w:val="00B26A9C"/>
    <w:rsid w:val="00B327FF"/>
    <w:rsid w:val="00B356AE"/>
    <w:rsid w:val="00B365E3"/>
    <w:rsid w:val="00B41202"/>
    <w:rsid w:val="00B43319"/>
    <w:rsid w:val="00B523E9"/>
    <w:rsid w:val="00B60DB8"/>
    <w:rsid w:val="00B61467"/>
    <w:rsid w:val="00B6200D"/>
    <w:rsid w:val="00B64D5C"/>
    <w:rsid w:val="00B654F4"/>
    <w:rsid w:val="00B67C3F"/>
    <w:rsid w:val="00B70894"/>
    <w:rsid w:val="00B717D6"/>
    <w:rsid w:val="00B71D99"/>
    <w:rsid w:val="00B72242"/>
    <w:rsid w:val="00B74AE5"/>
    <w:rsid w:val="00B76909"/>
    <w:rsid w:val="00B77DEF"/>
    <w:rsid w:val="00B91BC8"/>
    <w:rsid w:val="00B92A96"/>
    <w:rsid w:val="00B93C24"/>
    <w:rsid w:val="00B9494F"/>
    <w:rsid w:val="00B9546F"/>
    <w:rsid w:val="00B95D9D"/>
    <w:rsid w:val="00B96661"/>
    <w:rsid w:val="00BA0602"/>
    <w:rsid w:val="00BA1D6B"/>
    <w:rsid w:val="00BA3DAD"/>
    <w:rsid w:val="00BA4AF0"/>
    <w:rsid w:val="00BA6F15"/>
    <w:rsid w:val="00BB01F6"/>
    <w:rsid w:val="00BB3F88"/>
    <w:rsid w:val="00BB64A9"/>
    <w:rsid w:val="00BB655E"/>
    <w:rsid w:val="00BB76CB"/>
    <w:rsid w:val="00BC26AD"/>
    <w:rsid w:val="00BC3238"/>
    <w:rsid w:val="00BC3DBC"/>
    <w:rsid w:val="00BC422C"/>
    <w:rsid w:val="00BC486E"/>
    <w:rsid w:val="00BC6514"/>
    <w:rsid w:val="00BC708E"/>
    <w:rsid w:val="00BD52F1"/>
    <w:rsid w:val="00BD53D3"/>
    <w:rsid w:val="00BD7D12"/>
    <w:rsid w:val="00BE0AFF"/>
    <w:rsid w:val="00BE29F6"/>
    <w:rsid w:val="00BE58A3"/>
    <w:rsid w:val="00BE5C28"/>
    <w:rsid w:val="00BE6D97"/>
    <w:rsid w:val="00BE74D9"/>
    <w:rsid w:val="00BF24F7"/>
    <w:rsid w:val="00BF3A28"/>
    <w:rsid w:val="00BF4D26"/>
    <w:rsid w:val="00BF74C1"/>
    <w:rsid w:val="00C001B0"/>
    <w:rsid w:val="00C0037D"/>
    <w:rsid w:val="00C0169A"/>
    <w:rsid w:val="00C01734"/>
    <w:rsid w:val="00C021FE"/>
    <w:rsid w:val="00C031FF"/>
    <w:rsid w:val="00C0632F"/>
    <w:rsid w:val="00C078F2"/>
    <w:rsid w:val="00C07C28"/>
    <w:rsid w:val="00C1045B"/>
    <w:rsid w:val="00C13EB5"/>
    <w:rsid w:val="00C1518E"/>
    <w:rsid w:val="00C16266"/>
    <w:rsid w:val="00C21157"/>
    <w:rsid w:val="00C21164"/>
    <w:rsid w:val="00C21DC6"/>
    <w:rsid w:val="00C22521"/>
    <w:rsid w:val="00C25D43"/>
    <w:rsid w:val="00C31F8E"/>
    <w:rsid w:val="00C3318B"/>
    <w:rsid w:val="00C4059E"/>
    <w:rsid w:val="00C424E5"/>
    <w:rsid w:val="00C4756D"/>
    <w:rsid w:val="00C47E74"/>
    <w:rsid w:val="00C50200"/>
    <w:rsid w:val="00C50898"/>
    <w:rsid w:val="00C51842"/>
    <w:rsid w:val="00C520B7"/>
    <w:rsid w:val="00C52F52"/>
    <w:rsid w:val="00C5416F"/>
    <w:rsid w:val="00C54D17"/>
    <w:rsid w:val="00C63F0F"/>
    <w:rsid w:val="00C644FA"/>
    <w:rsid w:val="00C663C4"/>
    <w:rsid w:val="00C66D15"/>
    <w:rsid w:val="00C73770"/>
    <w:rsid w:val="00C73C77"/>
    <w:rsid w:val="00C755AB"/>
    <w:rsid w:val="00C834DB"/>
    <w:rsid w:val="00C8629F"/>
    <w:rsid w:val="00C87553"/>
    <w:rsid w:val="00C90298"/>
    <w:rsid w:val="00C91056"/>
    <w:rsid w:val="00C97161"/>
    <w:rsid w:val="00CA1291"/>
    <w:rsid w:val="00CA245E"/>
    <w:rsid w:val="00CA46B6"/>
    <w:rsid w:val="00CA5C35"/>
    <w:rsid w:val="00CA65F1"/>
    <w:rsid w:val="00CA7CF7"/>
    <w:rsid w:val="00CB013A"/>
    <w:rsid w:val="00CB036D"/>
    <w:rsid w:val="00CB17B9"/>
    <w:rsid w:val="00CB55DB"/>
    <w:rsid w:val="00CB5AED"/>
    <w:rsid w:val="00CB749D"/>
    <w:rsid w:val="00CB7957"/>
    <w:rsid w:val="00CC43B7"/>
    <w:rsid w:val="00CC44AB"/>
    <w:rsid w:val="00CC4552"/>
    <w:rsid w:val="00CD0C8F"/>
    <w:rsid w:val="00CD1D9F"/>
    <w:rsid w:val="00CD2B4F"/>
    <w:rsid w:val="00CD2C32"/>
    <w:rsid w:val="00CD2CA0"/>
    <w:rsid w:val="00CD2D47"/>
    <w:rsid w:val="00CD3499"/>
    <w:rsid w:val="00CD4263"/>
    <w:rsid w:val="00CE022A"/>
    <w:rsid w:val="00CF16A5"/>
    <w:rsid w:val="00CF236B"/>
    <w:rsid w:val="00CF5977"/>
    <w:rsid w:val="00D0072B"/>
    <w:rsid w:val="00D00A01"/>
    <w:rsid w:val="00D023CD"/>
    <w:rsid w:val="00D02723"/>
    <w:rsid w:val="00D04AAD"/>
    <w:rsid w:val="00D04B59"/>
    <w:rsid w:val="00D0521D"/>
    <w:rsid w:val="00D07F3C"/>
    <w:rsid w:val="00D12058"/>
    <w:rsid w:val="00D12672"/>
    <w:rsid w:val="00D12F64"/>
    <w:rsid w:val="00D16870"/>
    <w:rsid w:val="00D1768D"/>
    <w:rsid w:val="00D24088"/>
    <w:rsid w:val="00D273A8"/>
    <w:rsid w:val="00D30122"/>
    <w:rsid w:val="00D33573"/>
    <w:rsid w:val="00D33B5D"/>
    <w:rsid w:val="00D35574"/>
    <w:rsid w:val="00D404AD"/>
    <w:rsid w:val="00D41032"/>
    <w:rsid w:val="00D41DF6"/>
    <w:rsid w:val="00D4285D"/>
    <w:rsid w:val="00D42F8F"/>
    <w:rsid w:val="00D4531E"/>
    <w:rsid w:val="00D46273"/>
    <w:rsid w:val="00D501DB"/>
    <w:rsid w:val="00D54D57"/>
    <w:rsid w:val="00D54EC9"/>
    <w:rsid w:val="00D5643E"/>
    <w:rsid w:val="00D60113"/>
    <w:rsid w:val="00D637A9"/>
    <w:rsid w:val="00D6386D"/>
    <w:rsid w:val="00D63B0A"/>
    <w:rsid w:val="00D65113"/>
    <w:rsid w:val="00D65AF5"/>
    <w:rsid w:val="00D66D8F"/>
    <w:rsid w:val="00D74551"/>
    <w:rsid w:val="00D77DB9"/>
    <w:rsid w:val="00D80A8B"/>
    <w:rsid w:val="00D80DCA"/>
    <w:rsid w:val="00D82B87"/>
    <w:rsid w:val="00D85708"/>
    <w:rsid w:val="00D879F5"/>
    <w:rsid w:val="00D9708D"/>
    <w:rsid w:val="00DA1C7C"/>
    <w:rsid w:val="00DA1E58"/>
    <w:rsid w:val="00DA23E6"/>
    <w:rsid w:val="00DA2B5A"/>
    <w:rsid w:val="00DA35AF"/>
    <w:rsid w:val="00DA50EC"/>
    <w:rsid w:val="00DA6893"/>
    <w:rsid w:val="00DB1A46"/>
    <w:rsid w:val="00DB2B0D"/>
    <w:rsid w:val="00DB46D0"/>
    <w:rsid w:val="00DC206E"/>
    <w:rsid w:val="00DC2195"/>
    <w:rsid w:val="00DC348D"/>
    <w:rsid w:val="00DC61BB"/>
    <w:rsid w:val="00DD6B52"/>
    <w:rsid w:val="00DD7D7E"/>
    <w:rsid w:val="00DE3065"/>
    <w:rsid w:val="00DE4916"/>
    <w:rsid w:val="00DE4F36"/>
    <w:rsid w:val="00DE5376"/>
    <w:rsid w:val="00DE5DD3"/>
    <w:rsid w:val="00DE7B80"/>
    <w:rsid w:val="00DF118B"/>
    <w:rsid w:val="00E00399"/>
    <w:rsid w:val="00E01799"/>
    <w:rsid w:val="00E0195B"/>
    <w:rsid w:val="00E0222E"/>
    <w:rsid w:val="00E02655"/>
    <w:rsid w:val="00E03935"/>
    <w:rsid w:val="00E04120"/>
    <w:rsid w:val="00E0433D"/>
    <w:rsid w:val="00E07A68"/>
    <w:rsid w:val="00E11E32"/>
    <w:rsid w:val="00E1515D"/>
    <w:rsid w:val="00E1683D"/>
    <w:rsid w:val="00E20745"/>
    <w:rsid w:val="00E20A33"/>
    <w:rsid w:val="00E213C0"/>
    <w:rsid w:val="00E2509D"/>
    <w:rsid w:val="00E305D2"/>
    <w:rsid w:val="00E30C09"/>
    <w:rsid w:val="00E30F26"/>
    <w:rsid w:val="00E33F69"/>
    <w:rsid w:val="00E408C0"/>
    <w:rsid w:val="00E41770"/>
    <w:rsid w:val="00E4289B"/>
    <w:rsid w:val="00E45113"/>
    <w:rsid w:val="00E45482"/>
    <w:rsid w:val="00E507C2"/>
    <w:rsid w:val="00E56412"/>
    <w:rsid w:val="00E60658"/>
    <w:rsid w:val="00E60FEA"/>
    <w:rsid w:val="00E618E1"/>
    <w:rsid w:val="00E66126"/>
    <w:rsid w:val="00E668F0"/>
    <w:rsid w:val="00E71DBA"/>
    <w:rsid w:val="00E736C9"/>
    <w:rsid w:val="00E75646"/>
    <w:rsid w:val="00E80F3A"/>
    <w:rsid w:val="00E82CB5"/>
    <w:rsid w:val="00E83503"/>
    <w:rsid w:val="00E95589"/>
    <w:rsid w:val="00EA309E"/>
    <w:rsid w:val="00EA3361"/>
    <w:rsid w:val="00EB18B8"/>
    <w:rsid w:val="00EB2BC8"/>
    <w:rsid w:val="00EB2BD3"/>
    <w:rsid w:val="00EB6C1C"/>
    <w:rsid w:val="00EB76DF"/>
    <w:rsid w:val="00ED057A"/>
    <w:rsid w:val="00ED1600"/>
    <w:rsid w:val="00ED30F7"/>
    <w:rsid w:val="00ED3223"/>
    <w:rsid w:val="00ED539B"/>
    <w:rsid w:val="00ED615D"/>
    <w:rsid w:val="00ED6505"/>
    <w:rsid w:val="00ED6CE3"/>
    <w:rsid w:val="00ED6EAA"/>
    <w:rsid w:val="00ED7444"/>
    <w:rsid w:val="00EE3652"/>
    <w:rsid w:val="00EE613E"/>
    <w:rsid w:val="00EE6835"/>
    <w:rsid w:val="00EF109E"/>
    <w:rsid w:val="00EF306D"/>
    <w:rsid w:val="00EF3EDA"/>
    <w:rsid w:val="00EF4C2A"/>
    <w:rsid w:val="00EF6BF5"/>
    <w:rsid w:val="00F02F77"/>
    <w:rsid w:val="00F12F60"/>
    <w:rsid w:val="00F14127"/>
    <w:rsid w:val="00F1551D"/>
    <w:rsid w:val="00F16502"/>
    <w:rsid w:val="00F21595"/>
    <w:rsid w:val="00F24A86"/>
    <w:rsid w:val="00F24B7A"/>
    <w:rsid w:val="00F25904"/>
    <w:rsid w:val="00F27319"/>
    <w:rsid w:val="00F30A38"/>
    <w:rsid w:val="00F312BF"/>
    <w:rsid w:val="00F358FE"/>
    <w:rsid w:val="00F37722"/>
    <w:rsid w:val="00F414BE"/>
    <w:rsid w:val="00F4246C"/>
    <w:rsid w:val="00F45C69"/>
    <w:rsid w:val="00F46AA5"/>
    <w:rsid w:val="00F50D5A"/>
    <w:rsid w:val="00F521EE"/>
    <w:rsid w:val="00F54DDC"/>
    <w:rsid w:val="00F5557D"/>
    <w:rsid w:val="00F55893"/>
    <w:rsid w:val="00F565D6"/>
    <w:rsid w:val="00F608FD"/>
    <w:rsid w:val="00F63AD1"/>
    <w:rsid w:val="00F70CA9"/>
    <w:rsid w:val="00F71D0E"/>
    <w:rsid w:val="00F72682"/>
    <w:rsid w:val="00F775C1"/>
    <w:rsid w:val="00F80EF1"/>
    <w:rsid w:val="00F812A5"/>
    <w:rsid w:val="00F8154D"/>
    <w:rsid w:val="00F82644"/>
    <w:rsid w:val="00F84FB1"/>
    <w:rsid w:val="00F91539"/>
    <w:rsid w:val="00F95D94"/>
    <w:rsid w:val="00FA0C88"/>
    <w:rsid w:val="00FA47D3"/>
    <w:rsid w:val="00FA50AC"/>
    <w:rsid w:val="00FA50BE"/>
    <w:rsid w:val="00FA7D21"/>
    <w:rsid w:val="00FB3FC9"/>
    <w:rsid w:val="00FC0E5D"/>
    <w:rsid w:val="00FC15C8"/>
    <w:rsid w:val="00FC1C14"/>
    <w:rsid w:val="00FC2FFF"/>
    <w:rsid w:val="00FC3E92"/>
    <w:rsid w:val="00FC40D4"/>
    <w:rsid w:val="00FC537D"/>
    <w:rsid w:val="00FC6341"/>
    <w:rsid w:val="00FC6E8B"/>
    <w:rsid w:val="00FD32BB"/>
    <w:rsid w:val="00FD3AE9"/>
    <w:rsid w:val="00FD44EA"/>
    <w:rsid w:val="00FD58AD"/>
    <w:rsid w:val="00FD5E7D"/>
    <w:rsid w:val="00FD6794"/>
    <w:rsid w:val="00FD7BC5"/>
    <w:rsid w:val="00FD7F70"/>
    <w:rsid w:val="00FE10D9"/>
    <w:rsid w:val="00FE4705"/>
    <w:rsid w:val="00FE6AD0"/>
    <w:rsid w:val="00FF0587"/>
    <w:rsid w:val="00FF33C3"/>
    <w:rsid w:val="00FF5583"/>
    <w:rsid w:val="00FF5D60"/>
    <w:rsid w:val="00FF6734"/>
    <w:rsid w:val="00FF6CEC"/>
    <w:rsid w:val="00FF7B8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EE68A"/>
  <w15:chartTrackingRefBased/>
  <w15:docId w15:val="{10D6420F-6E0A-46F0-BE47-7EB4B6D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9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60113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43899"/>
    <w:pPr>
      <w:keepNext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407B"/>
    <w:rPr>
      <w:color w:val="0000FF"/>
      <w:u w:val="single"/>
    </w:rPr>
  </w:style>
  <w:style w:type="paragraph" w:styleId="Header">
    <w:name w:val="header"/>
    <w:basedOn w:val="Normal"/>
    <w:rsid w:val="001B4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0BD"/>
  </w:style>
  <w:style w:type="paragraph" w:styleId="BalloonText">
    <w:name w:val="Balloon Text"/>
    <w:basedOn w:val="Normal"/>
    <w:semiHidden/>
    <w:rsid w:val="00B17F6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34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48D"/>
  </w:style>
  <w:style w:type="paragraph" w:styleId="CommentSubject">
    <w:name w:val="annotation subject"/>
    <w:basedOn w:val="CommentText"/>
    <w:next w:val="CommentText"/>
    <w:link w:val="CommentSubjectChar"/>
    <w:rsid w:val="00DC348D"/>
    <w:rPr>
      <w:b/>
      <w:bCs/>
    </w:rPr>
  </w:style>
  <w:style w:type="character" w:customStyle="1" w:styleId="CommentSubjectChar">
    <w:name w:val="Comment Subject Char"/>
    <w:link w:val="CommentSubject"/>
    <w:rsid w:val="00DC348D"/>
    <w:rPr>
      <w:b/>
      <w:bCs/>
    </w:rPr>
  </w:style>
  <w:style w:type="table" w:styleId="TableGrid">
    <w:name w:val="Table Grid"/>
    <w:basedOn w:val="TableNormal"/>
    <w:rsid w:val="00E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A8E"/>
    <w:pPr>
      <w:ind w:left="720"/>
    </w:pPr>
  </w:style>
  <w:style w:type="paragraph" w:styleId="FootnoteText">
    <w:name w:val="footnote text"/>
    <w:basedOn w:val="Normal"/>
    <w:link w:val="FootnoteTextChar"/>
    <w:rsid w:val="00853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3A54"/>
  </w:style>
  <w:style w:type="character" w:styleId="FootnoteReference">
    <w:name w:val="footnote reference"/>
    <w:rsid w:val="00853A54"/>
    <w:rPr>
      <w:vertAlign w:val="superscript"/>
    </w:rPr>
  </w:style>
  <w:style w:type="paragraph" w:customStyle="1" w:styleId="Table">
    <w:name w:val="Table"/>
    <w:basedOn w:val="Normal"/>
    <w:qFormat/>
    <w:rsid w:val="00346FF1"/>
    <w:rPr>
      <w:rFonts w:eastAsia="Calibri"/>
      <w:szCs w:val="22"/>
    </w:rPr>
  </w:style>
  <w:style w:type="character" w:customStyle="1" w:styleId="Heading2Char">
    <w:name w:val="Heading 2 Char"/>
    <w:link w:val="Heading2"/>
    <w:rsid w:val="00443899"/>
    <w:rPr>
      <w:rFonts w:eastAsia="Times New Roman" w:cs="Times New Roman"/>
      <w:b/>
      <w:bCs/>
      <w:iCs/>
      <w:sz w:val="24"/>
      <w:szCs w:val="28"/>
    </w:rPr>
  </w:style>
  <w:style w:type="paragraph" w:customStyle="1" w:styleId="Figure">
    <w:name w:val="Figure"/>
    <w:basedOn w:val="Normal"/>
    <w:next w:val="Normal"/>
    <w:qFormat/>
    <w:rsid w:val="00443899"/>
    <w:pPr>
      <w:tabs>
        <w:tab w:val="left" w:pos="288"/>
        <w:tab w:val="left" w:pos="634"/>
      </w:tabs>
      <w:jc w:val="center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B3FC9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1246B"/>
    <w:pPr>
      <w:tabs>
        <w:tab w:val="right" w:leader="dot" w:pos="9350"/>
      </w:tabs>
    </w:pPr>
    <w:rPr>
      <w:b/>
      <w:szCs w:val="20"/>
    </w:rPr>
  </w:style>
  <w:style w:type="paragraph" w:styleId="TableofFigures">
    <w:name w:val="table of figures"/>
    <w:basedOn w:val="Normal"/>
    <w:next w:val="Normal"/>
    <w:uiPriority w:val="99"/>
    <w:rsid w:val="00FB3FC9"/>
  </w:style>
  <w:style w:type="paragraph" w:styleId="Revision">
    <w:name w:val="Revision"/>
    <w:hidden/>
    <w:uiPriority w:val="99"/>
    <w:semiHidden/>
    <w:rsid w:val="006C0254"/>
    <w:rPr>
      <w:sz w:val="24"/>
      <w:szCs w:val="24"/>
    </w:rPr>
  </w:style>
  <w:style w:type="paragraph" w:customStyle="1" w:styleId="Default">
    <w:name w:val="Default"/>
    <w:rsid w:val="005964A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Style1">
    <w:name w:val="Style1"/>
    <w:basedOn w:val="Normal"/>
    <w:qFormat/>
    <w:rsid w:val="00217DC5"/>
  </w:style>
  <w:style w:type="paragraph" w:customStyle="1" w:styleId="Style2">
    <w:name w:val="Style2"/>
    <w:qFormat/>
    <w:rsid w:val="00217DC5"/>
    <w:rPr>
      <w:b/>
      <w:bCs/>
      <w:iCs/>
      <w:sz w:val="24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57B07"/>
    <w:rPr>
      <w:rFonts w:ascii="Calibri" w:eastAsiaTheme="minorHAnsi" w:hAnsi="Calibri" w:cstheme="minorBidi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7B07"/>
    <w:rPr>
      <w:rFonts w:ascii="Calibri" w:eastAsiaTheme="minorHAnsi" w:hAnsi="Calibri" w:cstheme="minorBidi"/>
      <w:color w:val="002060"/>
      <w:sz w:val="24"/>
      <w:szCs w:val="21"/>
    </w:rPr>
  </w:style>
  <w:style w:type="character" w:styleId="Strong">
    <w:name w:val="Strong"/>
    <w:basedOn w:val="DefaultParagraphFont"/>
    <w:qFormat/>
    <w:rsid w:val="00E02655"/>
    <w:rPr>
      <w:b/>
      <w:bCs/>
    </w:rPr>
  </w:style>
  <w:style w:type="character" w:customStyle="1" w:styleId="lrzxr">
    <w:name w:val="lrzxr"/>
    <w:basedOn w:val="DefaultParagraphFont"/>
    <w:rsid w:val="00C21DC6"/>
  </w:style>
  <w:style w:type="character" w:styleId="FollowedHyperlink">
    <w:name w:val="FollowedHyperlink"/>
    <w:basedOn w:val="DefaultParagraphFont"/>
    <w:rsid w:val="00E00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client=firefox-b-1-ab&amp;q=Fort+Lesley+J.+McNair&amp;stick=H4sIAAAAAAAAAONgVuLUz9U3sKzISMldxCrqll9UouCTWpyTWqngpafgm-yXmFkEAOIhZPYlAAAA&amp;sa=X&amp;ved=2ahUKEwjcq7XshIDiAhVIeKwKHYZEAUMQmxMoATAYegQIDRA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minpubs.tradoc.army.mi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mypubs.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2933E2CF7A41A6A46468638E570C" ma:contentTypeVersion="0" ma:contentTypeDescription="Create a new document." ma:contentTypeScope="" ma:versionID="7cf594c468fafe52bcfd303dadae8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DF63-B8AC-4991-9F59-1D98688E3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7E534-E433-4BDB-9D09-0D6936580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92398-D06F-4D00-A230-0E4E72846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5FF90-8D16-4FC0-80A1-F50B316C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TRADOC</Company>
  <LinksUpToDate>false</LinksUpToDate>
  <CharactersWithSpaces>16052</CharactersWithSpaces>
  <SharedDoc>false</SharedDoc>
  <HLinks>
    <vt:vector size="120" baseType="variant"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_Toc442356530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_Toc442356529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_Toc442357021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_Toc442357020</vt:lpwstr>
      </vt:variant>
      <vt:variant>
        <vt:i4>1441843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_Toc442357019</vt:lpwstr>
      </vt:variant>
      <vt:variant>
        <vt:i4>1441843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_Toc442357018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_Toc442357017</vt:lpwstr>
      </vt:variant>
      <vt:variant>
        <vt:i4>1441843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_Toc442357016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_Toc442357015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_Toc442357014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_Toc442357013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_Toc442357012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_Toc442357011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_Toc442357010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_Toc442357009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_Toc442357008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_Toc442357007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_Toc442357006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_Toc442357005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_Toc442357004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Charles Maurer</dc:creator>
  <cp:keywords>27-2</cp:keywords>
  <cp:lastModifiedBy>Halpin, Robert B Mr CIV USA TRADOC</cp:lastModifiedBy>
  <cp:revision>3</cp:revision>
  <cp:lastPrinted>2019-07-18T22:27:00Z</cp:lastPrinted>
  <dcterms:created xsi:type="dcterms:W3CDTF">2019-07-29T17:22:00Z</dcterms:created>
  <dcterms:modified xsi:type="dcterms:W3CDTF">2019-07-29T17:23:00Z</dcterms:modified>
  <cp:contentStatus/>
</cp:coreProperties>
</file>